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55" w:rsidRDefault="005C4F3B">
      <w:pPr>
        <w:pStyle w:val="ParaAttribute0"/>
        <w:spacing w:line="259" w:lineRule="auto"/>
        <w:rPr>
          <w:rFonts w:ascii="Calibri" w:eastAsia="Calibri" w:hAnsi="Calibri"/>
        </w:rPr>
      </w:pPr>
      <w:r>
        <w:rPr>
          <w:rFonts w:ascii="Calibri" w:eastAsia="Calibri" w:hAnsi="Calibri"/>
          <w:noProof/>
          <w:sz w:val="22"/>
          <w:szCs w:val="22"/>
          <w:lang w:eastAsia="en-GB"/>
        </w:rPr>
        <w:drawing>
          <wp:anchor distT="0" distB="0" distL="114300" distR="114300" simplePos="0" relativeHeight="251624959" behindDoc="1" locked="0" layoutInCell="1" allowOverlap="1">
            <wp:simplePos x="0" y="0"/>
            <wp:positionH relativeFrom="margin">
              <wp:posOffset>1873885</wp:posOffset>
            </wp:positionH>
            <wp:positionV relativeFrom="paragraph">
              <wp:posOffset>10160</wp:posOffset>
            </wp:positionV>
            <wp:extent cx="3857625" cy="1005840"/>
            <wp:effectExtent l="0" t="0" r="9525" b="3810"/>
            <wp:wrapSquare wrapText="bothSides"/>
            <wp:docPr id="9" name="Picture 1" descr="/var/mobile/Containers/Data/Application/25E18058-E6AF-4610-8E9F-617FC1698558/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mobile/Containers/Data/Application/25E18058-E6AF-4610-8E9F-617FC1698558/Library/tmp1/image1.jpeg"/>
                    <pic:cNvPicPr>
                      <a:picLocks noChangeAspect="1" noChangeArrowheads="1"/>
                    </pic:cNvPicPr>
                  </pic:nvPicPr>
                  <pic:blipFill>
                    <a:blip r:embed="rId7"/>
                    <a:stretch>
                      <a:fillRect/>
                    </a:stretch>
                  </pic:blipFill>
                  <pic:spPr>
                    <a:xfrm>
                      <a:off x="0" y="0"/>
                      <a:ext cx="3858259" cy="1006475"/>
                    </a:xfrm>
                    <a:prstGeom prst="rect">
                      <a:avLst/>
                    </a:prstGeom>
                    <a:noFill/>
                    <a:ln w="3175" cap="flat" cmpd="sng">
                      <a:noFill/>
                      <a:prstDash/>
                      <a:miter lim="800000"/>
                    </a:ln>
                  </pic:spPr>
                </pic:pic>
              </a:graphicData>
            </a:graphic>
          </wp:anchor>
        </w:drawing>
      </w:r>
    </w:p>
    <w:p w:rsidR="008D5255" w:rsidRDefault="008D5255">
      <w:pPr>
        <w:pStyle w:val="ParaAttribute3"/>
        <w:spacing w:line="259" w:lineRule="auto"/>
        <w:rPr>
          <w:rFonts w:ascii="Calibri" w:eastAsia="Calibri" w:hAnsi="Calibri"/>
        </w:rPr>
      </w:pPr>
    </w:p>
    <w:p w:rsidR="008D5255" w:rsidRDefault="008D5255">
      <w:pPr>
        <w:pStyle w:val="ParaAttribute3"/>
        <w:spacing w:line="259" w:lineRule="auto"/>
        <w:rPr>
          <w:rFonts w:ascii="Calibri" w:eastAsia="Calibri" w:hAnsi="Calibri"/>
        </w:rPr>
      </w:pPr>
    </w:p>
    <w:p w:rsidR="008D5255" w:rsidRDefault="008D5255">
      <w:pPr>
        <w:pStyle w:val="ParaAttribute3"/>
        <w:spacing w:line="259" w:lineRule="auto"/>
        <w:rPr>
          <w:rFonts w:ascii="Calibri" w:eastAsia="Calibri" w:hAnsi="Calibri"/>
        </w:rPr>
      </w:pPr>
    </w:p>
    <w:p w:rsidR="008D5255" w:rsidRDefault="005C4F3B">
      <w:pPr>
        <w:pStyle w:val="ParaAttribute4"/>
        <w:spacing w:line="259" w:lineRule="auto"/>
        <w:rPr>
          <w:rStyle w:val="CharAttribute6"/>
          <w:szCs w:val="24"/>
        </w:rPr>
      </w:pPr>
      <w:r>
        <w:rPr>
          <w:rStyle w:val="CharAttribute6"/>
          <w:szCs w:val="24"/>
        </w:rPr>
        <w:t xml:space="preserve">City Deal Executive and Stewardship Board </w:t>
      </w:r>
      <w:r>
        <w:rPr>
          <w:rStyle w:val="CharAttribute6"/>
          <w:szCs w:val="24"/>
        </w:rPr>
        <w:t>–</w:t>
      </w:r>
      <w:r>
        <w:rPr>
          <w:rStyle w:val="CharAttribute6"/>
          <w:szCs w:val="24"/>
        </w:rPr>
        <w:t xml:space="preserve"> 22</w:t>
      </w:r>
      <w:r>
        <w:rPr>
          <w:rStyle w:val="CharAttribute7"/>
          <w:szCs w:val="24"/>
        </w:rPr>
        <w:t>nd</w:t>
      </w:r>
      <w:r>
        <w:rPr>
          <w:rStyle w:val="CharAttribute6"/>
          <w:szCs w:val="24"/>
        </w:rPr>
        <w:t xml:space="preserve"> June</w:t>
      </w:r>
      <w:r w:rsidR="00011D98">
        <w:rPr>
          <w:rStyle w:val="CharAttribute6"/>
          <w:szCs w:val="24"/>
        </w:rPr>
        <w:t xml:space="preserve"> 2016</w:t>
      </w:r>
    </w:p>
    <w:p w:rsidR="00011D98" w:rsidRPr="005C4F3B" w:rsidRDefault="00011D98" w:rsidP="005C4F3B">
      <w:pPr>
        <w:adjustRightInd w:val="0"/>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42" o:spid="_x0000_s1026" type="#_x0000_t202" style="position:absolute;left:0;text-align:left;margin-left:.05pt;margin-top:4.85pt;width:446.95pt;height:35.6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">
            <v:textbox style="mso-fit-shape-to-text:t">
              <w:txbxContent>
                <w:p w:rsidR="00011D98" w:rsidRDefault="00011D98" w:rsidP="00011D98">
                  <w:pPr>
                    <w:pStyle w:val="NoSpacing"/>
                    <w:rPr>
                      <w:rFonts w:cs="Arial"/>
                      <w:b/>
                      <w:szCs w:val="24"/>
                    </w:rPr>
                  </w:pPr>
                  <w:r>
                    <w:rPr>
                      <w:rStyle w:val="CharAttribute6"/>
                      <w:szCs w:val="24"/>
                    </w:rPr>
                    <w:t xml:space="preserve">2015/16 </w:t>
                  </w:r>
                  <w:proofErr w:type="gramStart"/>
                  <w:r>
                    <w:rPr>
                      <w:rStyle w:val="CharAttribute6"/>
                      <w:szCs w:val="24"/>
                    </w:rPr>
                    <w:t>–</w:t>
                  </w:r>
                  <w:r>
                    <w:rPr>
                      <w:rStyle w:val="CharAttribute6"/>
                      <w:szCs w:val="24"/>
                    </w:rPr>
                    <w:t xml:space="preserve">  Preston</w:t>
                  </w:r>
                  <w:proofErr w:type="gramEnd"/>
                  <w:r>
                    <w:rPr>
                      <w:rStyle w:val="CharAttribute6"/>
                      <w:szCs w:val="24"/>
                    </w:rPr>
                    <w:t xml:space="preserve">, South </w:t>
                  </w:r>
                  <w:proofErr w:type="spellStart"/>
                  <w:r>
                    <w:rPr>
                      <w:rStyle w:val="CharAttribute6"/>
                      <w:szCs w:val="24"/>
                    </w:rPr>
                    <w:t>Ribble</w:t>
                  </w:r>
                  <w:proofErr w:type="spellEnd"/>
                  <w:r>
                    <w:rPr>
                      <w:rStyle w:val="CharAttribute6"/>
                      <w:szCs w:val="24"/>
                    </w:rPr>
                    <w:t xml:space="preserve"> and Lancashire City Deal </w:t>
                  </w:r>
                  <w:r>
                    <w:rPr>
                      <w:rStyle w:val="CharAttribute24"/>
                      <w:szCs w:val="24"/>
                    </w:rPr>
                    <w:t>Programme</w:t>
                  </w:r>
                  <w:r>
                    <w:rPr>
                      <w:rStyle w:val="CharAttribute6"/>
                      <w:szCs w:val="24"/>
                    </w:rPr>
                    <w:t>: End of Year Review</w:t>
                  </w:r>
                  <w:r>
                    <w:rPr>
                      <w:rFonts w:cs="Arial"/>
                      <w:b/>
                      <w:szCs w:val="24"/>
                    </w:rPr>
                    <w:tab/>
                  </w:r>
                </w:p>
              </w:txbxContent>
            </v:textbox>
            <w10:wrap type="square"/>
          </v:shape>
        </w:pict>
      </w:r>
      <w:bookmarkStart w:id="0" w:name="_GoBack"/>
      <w:bookmarkEnd w:id="0"/>
    </w:p>
    <w:p w:rsidR="008D5255" w:rsidRPr="00011D98" w:rsidRDefault="005C4F3B" w:rsidP="00011D98">
      <w:pPr>
        <w:pStyle w:val="NoSpacing"/>
        <w:rPr>
          <w:rStyle w:val="CharAttribute10"/>
          <w:b/>
          <w:szCs w:val="24"/>
        </w:rPr>
      </w:pPr>
      <w:r w:rsidRPr="00011D98">
        <w:rPr>
          <w:rStyle w:val="CharAttribute10"/>
          <w:b/>
          <w:szCs w:val="24"/>
        </w:rPr>
        <w:t>Report Author: Report of the City Deal Monitoring Group</w:t>
      </w:r>
    </w:p>
    <w:p w:rsidR="00011D98" w:rsidRDefault="00011D98" w:rsidP="00011D98">
      <w:pPr>
        <w:pStyle w:val="NoSpacing"/>
        <w:rPr>
          <w:rFonts w:hAnsi="Arial"/>
        </w:rPr>
      </w:pPr>
    </w:p>
    <w:p w:rsidR="008D5255" w:rsidRDefault="005C4F3B" w:rsidP="00011D98">
      <w:pPr>
        <w:pStyle w:val="NoSpacing"/>
        <w:rPr>
          <w:rStyle w:val="CharAttribute6"/>
          <w:szCs w:val="24"/>
        </w:rPr>
      </w:pPr>
      <w:r>
        <w:rPr>
          <w:rStyle w:val="CharAttribute6"/>
          <w:szCs w:val="24"/>
        </w:rPr>
        <w:t xml:space="preserve">Executive Summary </w:t>
      </w:r>
    </w:p>
    <w:p w:rsidR="00011D98" w:rsidRDefault="00011D98" w:rsidP="00011D98">
      <w:pPr>
        <w:pStyle w:val="NoSpacing"/>
        <w:rPr>
          <w:rFonts w:hAnsi="Arial"/>
        </w:rPr>
      </w:pPr>
    </w:p>
    <w:p w:rsidR="008D5255" w:rsidRDefault="005C4F3B" w:rsidP="00011D98">
      <w:pPr>
        <w:pStyle w:val="NoSpacing"/>
        <w:rPr>
          <w:rStyle w:val="CharAttribute10"/>
          <w:szCs w:val="24"/>
        </w:rPr>
      </w:pPr>
      <w:r>
        <w:rPr>
          <w:rStyle w:val="CharAttribute10"/>
          <w:szCs w:val="24"/>
        </w:rPr>
        <w:t xml:space="preserve">The purpose of this report is to provide a summary of key performance of the Preston, South </w:t>
      </w:r>
      <w:proofErr w:type="spellStart"/>
      <w:r>
        <w:rPr>
          <w:rStyle w:val="CharAttribute10"/>
          <w:szCs w:val="24"/>
        </w:rPr>
        <w:t>Ribble</w:t>
      </w:r>
      <w:proofErr w:type="spellEnd"/>
      <w:r>
        <w:rPr>
          <w:rStyle w:val="CharAttribute10"/>
          <w:szCs w:val="24"/>
        </w:rPr>
        <w:t xml:space="preserve"> and Lancashire City Deal </w:t>
      </w:r>
      <w:r>
        <w:rPr>
          <w:rStyle w:val="CharAttribute25"/>
          <w:szCs w:val="24"/>
        </w:rPr>
        <w:t>Programme</w:t>
      </w:r>
      <w:r>
        <w:rPr>
          <w:rStyle w:val="CharAttribute10"/>
          <w:szCs w:val="24"/>
        </w:rPr>
        <w:t xml:space="preserve"> during and up to 2015/16 (Year 2). In headline terms, early progress has been encouraging and by Year 2 a total of 1,599 h</w:t>
      </w:r>
      <w:r>
        <w:rPr>
          <w:rStyle w:val="CharAttribute10"/>
          <w:szCs w:val="24"/>
        </w:rPr>
        <w:t xml:space="preserve">omes have been delivered against a target of 1,206.  </w:t>
      </w:r>
    </w:p>
    <w:p w:rsidR="00011D98" w:rsidRDefault="00011D98" w:rsidP="00011D98">
      <w:pPr>
        <w:pStyle w:val="NoSpacing"/>
        <w:rPr>
          <w:rStyle w:val="CharAttribute10"/>
          <w:szCs w:val="24"/>
        </w:rPr>
      </w:pPr>
    </w:p>
    <w:p w:rsidR="00011D98" w:rsidRDefault="00011D98" w:rsidP="00011D98">
      <w:pPr>
        <w:pStyle w:val="NoSpacing"/>
        <w:rPr>
          <w:rFonts w:hAnsi="Arial"/>
        </w:rPr>
      </w:pPr>
      <w:r>
        <w:rPr>
          <w:rStyle w:val="CharAttribute10"/>
          <w:szCs w:val="24"/>
        </w:rPr>
        <w:t xml:space="preserve">This report provides an overview of how the City Deal </w:t>
      </w:r>
      <w:r>
        <w:rPr>
          <w:rStyle w:val="CharAttribute25"/>
          <w:szCs w:val="24"/>
        </w:rPr>
        <w:t>Programme</w:t>
      </w:r>
      <w:r>
        <w:rPr>
          <w:rStyle w:val="CharAttribute10"/>
          <w:szCs w:val="24"/>
        </w:rPr>
        <w:t xml:space="preserve"> has performed during and up to 2015/16 (Year 2), highlighting progress against targets. This information is also used to report to Government progress towards agreed targets and notes progress up to March 2016.</w:t>
      </w:r>
    </w:p>
    <w:p w:rsidR="008D5255" w:rsidRDefault="008D5255" w:rsidP="00011D98">
      <w:pPr>
        <w:pStyle w:val="NoSpacing"/>
        <w:rPr>
          <w:rFonts w:hAnsi="Arial"/>
        </w:rPr>
      </w:pPr>
    </w:p>
    <w:p w:rsidR="008D5255" w:rsidRDefault="005C4F3B" w:rsidP="00011D98">
      <w:pPr>
        <w:pStyle w:val="NoSpacing"/>
        <w:rPr>
          <w:rStyle w:val="CharAttribute6"/>
          <w:szCs w:val="24"/>
        </w:rPr>
      </w:pPr>
      <w:r>
        <w:rPr>
          <w:rStyle w:val="CharAttribute6"/>
          <w:szCs w:val="24"/>
        </w:rPr>
        <w:t>Recommendations</w:t>
      </w:r>
    </w:p>
    <w:p w:rsidR="00011D98" w:rsidRDefault="00011D98" w:rsidP="00011D98">
      <w:pPr>
        <w:pStyle w:val="NoSpacing"/>
        <w:rPr>
          <w:rFonts w:hAnsi="Arial"/>
        </w:rPr>
      </w:pPr>
    </w:p>
    <w:p w:rsidR="008D5255" w:rsidRDefault="005C4F3B" w:rsidP="00011D98">
      <w:pPr>
        <w:pStyle w:val="NoSpacing"/>
        <w:rPr>
          <w:rFonts w:hAnsi="Arial"/>
        </w:rPr>
      </w:pPr>
      <w:r>
        <w:rPr>
          <w:rStyle w:val="CharAttribute10"/>
          <w:szCs w:val="24"/>
        </w:rPr>
        <w:t xml:space="preserve">Note the report and progress being made on delivering the City Deal </w:t>
      </w:r>
      <w:r>
        <w:rPr>
          <w:rStyle w:val="CharAttribute25"/>
          <w:szCs w:val="24"/>
        </w:rPr>
        <w:t>Programme</w:t>
      </w:r>
      <w:r>
        <w:rPr>
          <w:rStyle w:val="CharAttribute10"/>
          <w:szCs w:val="24"/>
        </w:rPr>
        <w:t xml:space="preserve">.  </w:t>
      </w:r>
    </w:p>
    <w:p w:rsidR="008D5255" w:rsidRDefault="005C4F3B" w:rsidP="00011D98">
      <w:pPr>
        <w:pStyle w:val="NoSpacing"/>
        <w:rPr>
          <w:rFonts w:hAnsi="Arial"/>
        </w:rPr>
      </w:pPr>
      <w:r>
        <w:rPr>
          <w:rStyle w:val="CharAttribute10"/>
          <w:szCs w:val="24"/>
        </w:rPr>
        <w:t xml:space="preserve">  </w:t>
      </w:r>
    </w:p>
    <w:p w:rsidR="008D5255" w:rsidRDefault="005C4F3B" w:rsidP="00011D98">
      <w:pPr>
        <w:pStyle w:val="NoSpacing"/>
        <w:rPr>
          <w:rStyle w:val="CharAttribute6"/>
          <w:szCs w:val="24"/>
        </w:rPr>
      </w:pPr>
      <w:r>
        <w:rPr>
          <w:rStyle w:val="CharAttribute6"/>
          <w:szCs w:val="24"/>
        </w:rPr>
        <w:t>Background</w:t>
      </w:r>
    </w:p>
    <w:p w:rsidR="00011D98" w:rsidRDefault="00011D98" w:rsidP="00011D98">
      <w:pPr>
        <w:pStyle w:val="NoSpacing"/>
        <w:rPr>
          <w:rFonts w:hAnsi="Arial"/>
        </w:rPr>
      </w:pPr>
    </w:p>
    <w:p w:rsidR="008D5255" w:rsidRDefault="005C4F3B" w:rsidP="00011D98">
      <w:pPr>
        <w:pStyle w:val="NoSpacing"/>
        <w:rPr>
          <w:rFonts w:hAnsi="Arial"/>
        </w:rPr>
      </w:pPr>
      <w:r>
        <w:rPr>
          <w:rStyle w:val="CharAttribute10"/>
          <w:szCs w:val="24"/>
        </w:rPr>
        <w:t xml:space="preserve">The Preston, South </w:t>
      </w:r>
      <w:proofErr w:type="spellStart"/>
      <w:r>
        <w:rPr>
          <w:rStyle w:val="CharAttribute10"/>
          <w:szCs w:val="24"/>
        </w:rPr>
        <w:t>Ribble</w:t>
      </w:r>
      <w:proofErr w:type="spellEnd"/>
      <w:r>
        <w:rPr>
          <w:rStyle w:val="CharAttribute10"/>
          <w:szCs w:val="24"/>
        </w:rPr>
        <w:t xml:space="preserve"> </w:t>
      </w:r>
      <w:r>
        <w:rPr>
          <w:rStyle w:val="CharAttribute10"/>
          <w:szCs w:val="24"/>
        </w:rPr>
        <w:t xml:space="preserve">and Lancashire City Deal is a 10 year </w:t>
      </w:r>
      <w:r>
        <w:rPr>
          <w:rStyle w:val="CharAttribute25"/>
          <w:szCs w:val="24"/>
        </w:rPr>
        <w:t>Programme</w:t>
      </w:r>
      <w:r>
        <w:rPr>
          <w:rStyle w:val="CharAttribute10"/>
          <w:szCs w:val="24"/>
        </w:rPr>
        <w:t xml:space="preserve"> to provide key infrastructure in support of the delivery of 17,000 houses, over 1m </w:t>
      </w:r>
      <w:proofErr w:type="spellStart"/>
      <w:r>
        <w:rPr>
          <w:rStyle w:val="CharAttribute10"/>
          <w:szCs w:val="24"/>
        </w:rPr>
        <w:t>sq</w:t>
      </w:r>
      <w:proofErr w:type="spellEnd"/>
      <w:r>
        <w:rPr>
          <w:rStyle w:val="CharAttribute10"/>
          <w:szCs w:val="24"/>
        </w:rPr>
        <w:t xml:space="preserve"> m of commercial </w:t>
      </w:r>
      <w:proofErr w:type="spellStart"/>
      <w:r>
        <w:rPr>
          <w:rStyle w:val="CharAttribute10"/>
          <w:szCs w:val="24"/>
        </w:rPr>
        <w:t>floorspace</w:t>
      </w:r>
      <w:proofErr w:type="spellEnd"/>
      <w:r>
        <w:rPr>
          <w:rStyle w:val="CharAttribute10"/>
          <w:szCs w:val="24"/>
        </w:rPr>
        <w:t xml:space="preserve"> and around 20,000 jobs.    </w:t>
      </w:r>
    </w:p>
    <w:p w:rsidR="008D5255" w:rsidRDefault="005C4F3B" w:rsidP="00011D98">
      <w:pPr>
        <w:pStyle w:val="NoSpacing"/>
        <w:rPr>
          <w:rFonts w:hAnsi="Arial"/>
        </w:rPr>
      </w:pPr>
      <w:r>
        <w:rPr>
          <w:rStyle w:val="CharAttribute6"/>
          <w:szCs w:val="24"/>
        </w:rPr>
        <w:tab/>
      </w:r>
    </w:p>
    <w:p w:rsidR="008D5255" w:rsidRDefault="005C4F3B" w:rsidP="00011D98">
      <w:pPr>
        <w:pStyle w:val="NoSpacing"/>
        <w:rPr>
          <w:rFonts w:hAnsi="Arial"/>
        </w:rPr>
      </w:pPr>
      <w:r>
        <w:rPr>
          <w:rStyle w:val="CharAttribute10"/>
          <w:szCs w:val="24"/>
        </w:rPr>
        <w:t>Monitoring metrics have been agreed between Government and the C</w:t>
      </w:r>
      <w:r>
        <w:rPr>
          <w:rStyle w:val="CharAttribute10"/>
          <w:szCs w:val="24"/>
        </w:rPr>
        <w:t xml:space="preserve">ity </w:t>
      </w:r>
      <w:proofErr w:type="gramStart"/>
      <w:r>
        <w:rPr>
          <w:rStyle w:val="CharAttribute10"/>
          <w:szCs w:val="24"/>
        </w:rPr>
        <w:t>Deal  Executive</w:t>
      </w:r>
      <w:proofErr w:type="gramEnd"/>
      <w:r>
        <w:rPr>
          <w:rStyle w:val="CharAttribute10"/>
          <w:szCs w:val="24"/>
        </w:rPr>
        <w:t xml:space="preserve"> and Stewardship Board (E&amp;SB) in order to monitor progress and manage risk. The primary purpose of this report is to set out progress against the Core and Supporting metrics and these are reported in sections 3-7 of this report.</w:t>
      </w:r>
    </w:p>
    <w:p w:rsidR="008D5255" w:rsidRDefault="008D5255" w:rsidP="00011D98">
      <w:pPr>
        <w:pStyle w:val="NoSpacing"/>
        <w:rPr>
          <w:rFonts w:hAnsi="Arial"/>
        </w:rPr>
      </w:pPr>
    </w:p>
    <w:p w:rsidR="008D5255" w:rsidRDefault="005C4F3B" w:rsidP="00011D98">
      <w:pPr>
        <w:pStyle w:val="NoSpacing"/>
        <w:rPr>
          <w:rFonts w:hAnsi="Arial"/>
        </w:rPr>
      </w:pPr>
      <w:r>
        <w:rPr>
          <w:rStyle w:val="CharAttribute10"/>
          <w:szCs w:val="24"/>
        </w:rPr>
        <w:t>In add</w:t>
      </w:r>
      <w:r>
        <w:rPr>
          <w:rStyle w:val="CharAttribute10"/>
          <w:szCs w:val="24"/>
        </w:rPr>
        <w:t xml:space="preserve">ition, in 2015/16 the E&amp;SB established its Skills and Employment Steering Group and endorsed its action plan </w:t>
      </w:r>
      <w:r>
        <w:rPr>
          <w:rStyle w:val="CharAttribute8"/>
          <w:szCs w:val="24"/>
        </w:rPr>
        <w:t>to support employment growth, provide skills, training and recruitment support (in particular for the construction sector) and   increase social va</w:t>
      </w:r>
      <w:r>
        <w:rPr>
          <w:rStyle w:val="CharAttribute8"/>
          <w:szCs w:val="24"/>
        </w:rPr>
        <w:t>lue through the procurement process</w:t>
      </w:r>
      <w:r>
        <w:rPr>
          <w:rStyle w:val="CharAttribute10"/>
          <w:szCs w:val="24"/>
        </w:rPr>
        <w:t xml:space="preserve">. The E&amp;SB will be asked to approve the monitoring metrics for this work </w:t>
      </w:r>
      <w:r>
        <w:rPr>
          <w:rStyle w:val="CharAttribute25"/>
          <w:szCs w:val="24"/>
        </w:rPr>
        <w:t>programme</w:t>
      </w:r>
      <w:r>
        <w:rPr>
          <w:rStyle w:val="CharAttribute10"/>
          <w:szCs w:val="24"/>
        </w:rPr>
        <w:t xml:space="preserve"> in due course. </w:t>
      </w:r>
    </w:p>
    <w:p w:rsidR="008D5255" w:rsidRDefault="008D5255" w:rsidP="00011D98">
      <w:pPr>
        <w:pStyle w:val="NoSpacing"/>
        <w:rPr>
          <w:rFonts w:hAnsi="Arial"/>
        </w:rPr>
      </w:pPr>
    </w:p>
    <w:p w:rsidR="008D5255" w:rsidRDefault="005C4F3B" w:rsidP="00011D98">
      <w:pPr>
        <w:pStyle w:val="NoSpacing"/>
        <w:rPr>
          <w:rFonts w:hAnsi="Arial"/>
        </w:rPr>
      </w:pPr>
      <w:r>
        <w:rPr>
          <w:rStyle w:val="CharAttribute10"/>
          <w:szCs w:val="24"/>
        </w:rPr>
        <w:t xml:space="preserve">During the year the City Deal partners, working alongside Marketing Lancashire, have led and contributed to a number of </w:t>
      </w:r>
      <w:r>
        <w:rPr>
          <w:rStyle w:val="CharAttribute10"/>
          <w:szCs w:val="24"/>
        </w:rPr>
        <w:t>communication and marketing events</w:t>
      </w:r>
      <w:r>
        <w:rPr>
          <w:rStyle w:val="CharAttribute8"/>
          <w:szCs w:val="24"/>
        </w:rPr>
        <w:t xml:space="preserve">, in particular with investors, developers and </w:t>
      </w:r>
      <w:r>
        <w:rPr>
          <w:rStyle w:val="CharAttribute29"/>
          <w:szCs w:val="24"/>
        </w:rPr>
        <w:t>housebuilders</w:t>
      </w:r>
      <w:r>
        <w:rPr>
          <w:rStyle w:val="CharAttribute8"/>
          <w:szCs w:val="24"/>
        </w:rPr>
        <w:t xml:space="preserve">, </w:t>
      </w:r>
      <w:r>
        <w:rPr>
          <w:rStyle w:val="CharAttribute10"/>
          <w:szCs w:val="24"/>
        </w:rPr>
        <w:t xml:space="preserve">as part of the implementation of a comprehensive action plan. </w:t>
      </w:r>
    </w:p>
    <w:p w:rsidR="008D5255" w:rsidRDefault="005C4F3B" w:rsidP="00011D98">
      <w:pPr>
        <w:pStyle w:val="NoSpacing"/>
        <w:rPr>
          <w:rFonts w:hAnsi="Arial"/>
        </w:rPr>
      </w:pPr>
      <w:r>
        <w:rPr>
          <w:rStyle w:val="CharAttribute10"/>
          <w:szCs w:val="24"/>
        </w:rPr>
        <w:lastRenderedPageBreak/>
        <w:tab/>
      </w:r>
    </w:p>
    <w:p w:rsidR="008D5255" w:rsidRDefault="005C4F3B" w:rsidP="00011D98">
      <w:pPr>
        <w:pStyle w:val="NoSpacing"/>
        <w:rPr>
          <w:rFonts w:hAnsi="Arial"/>
        </w:rPr>
      </w:pPr>
      <w:r>
        <w:rPr>
          <w:rStyle w:val="CharAttribute10"/>
          <w:szCs w:val="24"/>
        </w:rPr>
        <w:t xml:space="preserve">The E&amp;SB continue to </w:t>
      </w:r>
      <w:r>
        <w:rPr>
          <w:rStyle w:val="CharAttribute29"/>
          <w:szCs w:val="24"/>
        </w:rPr>
        <w:t>scrutinise</w:t>
      </w:r>
      <w:r>
        <w:rPr>
          <w:rStyle w:val="CharAttribute8"/>
          <w:szCs w:val="24"/>
        </w:rPr>
        <w:t xml:space="preserve"> progress against all areas of </w:t>
      </w:r>
      <w:r>
        <w:rPr>
          <w:rStyle w:val="CharAttribute10"/>
          <w:szCs w:val="24"/>
        </w:rPr>
        <w:t xml:space="preserve">City Deal </w:t>
      </w:r>
      <w:proofErr w:type="gramStart"/>
      <w:r>
        <w:rPr>
          <w:rStyle w:val="CharAttribute8"/>
          <w:szCs w:val="24"/>
        </w:rPr>
        <w:t xml:space="preserve">activity </w:t>
      </w:r>
      <w:r>
        <w:rPr>
          <w:rStyle w:val="CharAttribute10"/>
          <w:szCs w:val="24"/>
        </w:rPr>
        <w:t xml:space="preserve"> so</w:t>
      </w:r>
      <w:proofErr w:type="gramEnd"/>
      <w:r>
        <w:rPr>
          <w:rStyle w:val="CharAttribute10"/>
          <w:szCs w:val="24"/>
        </w:rPr>
        <w:t xml:space="preserve"> that it is able to respond to market conditions and new local and national </w:t>
      </w:r>
      <w:r>
        <w:rPr>
          <w:rStyle w:val="CharAttribute8"/>
          <w:szCs w:val="24"/>
        </w:rPr>
        <w:t xml:space="preserve">delivery </w:t>
      </w:r>
      <w:r>
        <w:rPr>
          <w:rStyle w:val="CharAttribute10"/>
          <w:szCs w:val="24"/>
        </w:rPr>
        <w:t xml:space="preserve">opportunities. </w:t>
      </w:r>
    </w:p>
    <w:p w:rsidR="008D5255" w:rsidRDefault="008D5255" w:rsidP="00011D98">
      <w:pPr>
        <w:pStyle w:val="NoSpacing"/>
        <w:rPr>
          <w:rFonts w:hAnsi="Arial"/>
        </w:rPr>
      </w:pPr>
    </w:p>
    <w:p w:rsidR="008D5255" w:rsidRDefault="005C4F3B" w:rsidP="00011D98">
      <w:pPr>
        <w:pStyle w:val="NoSpacing"/>
        <w:rPr>
          <w:rStyle w:val="CharAttribute6"/>
          <w:szCs w:val="24"/>
        </w:rPr>
      </w:pPr>
      <w:r>
        <w:rPr>
          <w:rStyle w:val="CharAttribute6"/>
          <w:szCs w:val="24"/>
        </w:rPr>
        <w:t xml:space="preserve">Housing Outputs </w:t>
      </w:r>
    </w:p>
    <w:p w:rsidR="00011D98" w:rsidRDefault="00011D98" w:rsidP="00011D98">
      <w:pPr>
        <w:pStyle w:val="NoSpacing"/>
        <w:rPr>
          <w:rFonts w:hAnsi="Arial"/>
        </w:rPr>
      </w:pPr>
    </w:p>
    <w:p w:rsidR="008D5255" w:rsidRDefault="005C4F3B" w:rsidP="00011D98">
      <w:pPr>
        <w:pStyle w:val="NoSpacing"/>
        <w:rPr>
          <w:rFonts w:hAnsi="Arial"/>
        </w:rPr>
      </w:pPr>
      <w:r>
        <w:rPr>
          <w:rStyle w:val="CharAttribute10"/>
          <w:szCs w:val="24"/>
        </w:rPr>
        <w:t xml:space="preserve">Overall, since the start of the Deal period, </w:t>
      </w:r>
      <w:r>
        <w:rPr>
          <w:rStyle w:val="CharAttribute12"/>
          <w:szCs w:val="24"/>
        </w:rPr>
        <w:t>housing completions</w:t>
      </w:r>
      <w:r>
        <w:rPr>
          <w:rStyle w:val="CharAttribute10"/>
          <w:szCs w:val="24"/>
        </w:rPr>
        <w:t xml:space="preserve"> are ahead of forecast, with 1,599 completions versus a target of 1</w:t>
      </w:r>
      <w:r>
        <w:rPr>
          <w:rStyle w:val="CharAttribute10"/>
          <w:szCs w:val="24"/>
        </w:rPr>
        <w:t xml:space="preserve">,206.  During 15/16, slightly lower than forecast completions have been achieved (619 completions achieved against a forecast of 868 </w:t>
      </w:r>
      <w:r>
        <w:rPr>
          <w:rStyle w:val="CharAttribute10"/>
          <w:szCs w:val="24"/>
        </w:rPr>
        <w:t>–</w:t>
      </w:r>
      <w:r>
        <w:rPr>
          <w:rStyle w:val="CharAttribute10"/>
          <w:szCs w:val="24"/>
        </w:rPr>
        <w:t xml:space="preserve"> 71% of the forecast total).  This underperformance of</w:t>
      </w:r>
      <w:r>
        <w:rPr>
          <w:rStyle w:val="CharAttribute11"/>
          <w:szCs w:val="24"/>
        </w:rPr>
        <w:t xml:space="preserve"> </w:t>
      </w:r>
      <w:r>
        <w:rPr>
          <w:rStyle w:val="CharAttribute10"/>
          <w:szCs w:val="24"/>
        </w:rPr>
        <w:t>29% is made up mostly of small sites that have not yet come forward</w:t>
      </w:r>
      <w:r>
        <w:rPr>
          <w:rStyle w:val="CharAttribute10"/>
          <w:szCs w:val="24"/>
        </w:rPr>
        <w:t xml:space="preserve"> and some sites currently under construction that are taking longer to complete.  On other sites there are, however, signs of over performance and/or increased acceleration on housing completions.</w:t>
      </w:r>
    </w:p>
    <w:p w:rsidR="008D5255" w:rsidRDefault="008D5255" w:rsidP="00011D98">
      <w:pPr>
        <w:pStyle w:val="NoSpacing"/>
        <w:rPr>
          <w:rFonts w:hAnsi="Arial"/>
        </w:rPr>
      </w:pPr>
    </w:p>
    <w:p w:rsidR="008D5255" w:rsidRDefault="005C4F3B" w:rsidP="00011D98">
      <w:pPr>
        <w:pStyle w:val="NoSpacing"/>
        <w:rPr>
          <w:rFonts w:hAnsi="Arial"/>
        </w:rPr>
      </w:pPr>
      <w:r>
        <w:rPr>
          <w:rStyle w:val="CharAttribute10"/>
          <w:szCs w:val="24"/>
        </w:rPr>
        <w:t xml:space="preserve">From the </w:t>
      </w:r>
      <w:r>
        <w:rPr>
          <w:rStyle w:val="CharAttribute12"/>
          <w:szCs w:val="24"/>
        </w:rPr>
        <w:t>planning perspective</w:t>
      </w:r>
      <w:r>
        <w:rPr>
          <w:rStyle w:val="CharAttribute10"/>
          <w:szCs w:val="24"/>
        </w:rPr>
        <w:t>, and inclusive of Year 0 (20</w:t>
      </w:r>
      <w:r>
        <w:rPr>
          <w:rStyle w:val="CharAttribute10"/>
          <w:szCs w:val="24"/>
        </w:rPr>
        <w:t xml:space="preserve">13/14), Year 1 (2014/15) and Year 2 (2015/16), a total of 7,845 </w:t>
      </w:r>
      <w:r>
        <w:rPr>
          <w:rStyle w:val="CharAttribute12"/>
          <w:szCs w:val="24"/>
        </w:rPr>
        <w:t>housing units</w:t>
      </w:r>
      <w:r>
        <w:rPr>
          <w:rStyle w:val="CharAttribute10"/>
          <w:szCs w:val="24"/>
        </w:rPr>
        <w:t xml:space="preserve"> have been submitted for planning.  This is below the anticipated target of 9,774 which correlates with emerging delays on two strategic housing sites. Resources are focussed upon</w:t>
      </w:r>
      <w:r>
        <w:rPr>
          <w:rStyle w:val="CharAttribute10"/>
          <w:szCs w:val="24"/>
        </w:rPr>
        <w:t xml:space="preserve"> these two priority sites in order to </w:t>
      </w:r>
      <w:r>
        <w:rPr>
          <w:rStyle w:val="CharAttribute25"/>
          <w:szCs w:val="24"/>
        </w:rPr>
        <w:t>mobilise</w:t>
      </w:r>
      <w:r>
        <w:rPr>
          <w:rStyle w:val="CharAttribute10"/>
          <w:szCs w:val="24"/>
        </w:rPr>
        <w:t xml:space="preserve"> development activity. </w:t>
      </w:r>
    </w:p>
    <w:p w:rsidR="008D5255" w:rsidRDefault="008D5255" w:rsidP="00011D98">
      <w:pPr>
        <w:pStyle w:val="NoSpacing"/>
        <w:rPr>
          <w:rFonts w:hAnsi="Arial"/>
        </w:rPr>
      </w:pPr>
    </w:p>
    <w:p w:rsidR="008D5255" w:rsidRDefault="005C4F3B" w:rsidP="00011D98">
      <w:pPr>
        <w:pStyle w:val="NoSpacing"/>
        <w:rPr>
          <w:rFonts w:hAnsi="Arial"/>
        </w:rPr>
      </w:pPr>
      <w:r>
        <w:rPr>
          <w:rStyle w:val="CharAttribute10"/>
          <w:szCs w:val="24"/>
        </w:rPr>
        <w:t xml:space="preserve">Focussing upon key </w:t>
      </w:r>
      <w:r>
        <w:rPr>
          <w:rStyle w:val="CharAttribute12"/>
          <w:szCs w:val="24"/>
        </w:rPr>
        <w:t>HCA sites</w:t>
      </w:r>
      <w:r>
        <w:rPr>
          <w:rStyle w:val="CharAttribute10"/>
          <w:szCs w:val="24"/>
        </w:rPr>
        <w:t>, acting as a barometer for the market for large development sites, progress is being well maintained. To date the HCA has secured planning permission on 6 s</w:t>
      </w:r>
      <w:r>
        <w:rPr>
          <w:rStyle w:val="CharAttribute10"/>
          <w:szCs w:val="24"/>
        </w:rPr>
        <w:t>ites with consent for 2,671 homes; 5 of the 11 sites have developer partners with capacity to deliver 1,159 new homes and; completed delivery on the first 80 new homes.</w:t>
      </w:r>
    </w:p>
    <w:p w:rsidR="008D5255" w:rsidRDefault="008D5255" w:rsidP="00011D98">
      <w:pPr>
        <w:pStyle w:val="NoSpacing"/>
        <w:rPr>
          <w:rFonts w:hAnsi="Arial"/>
        </w:rPr>
      </w:pPr>
    </w:p>
    <w:p w:rsidR="008D5255" w:rsidRDefault="005C4F3B" w:rsidP="00011D98">
      <w:pPr>
        <w:pStyle w:val="NoSpacing"/>
        <w:rPr>
          <w:rFonts w:hAnsi="Arial"/>
        </w:rPr>
      </w:pPr>
      <w:r>
        <w:rPr>
          <w:rStyle w:val="CharAttribute6"/>
          <w:szCs w:val="24"/>
        </w:rPr>
        <w:t xml:space="preserve">Table 1 </w:t>
      </w:r>
    </w:p>
    <w:tbl>
      <w:tblPr>
        <w:tblStyle w:val="DefaultTable"/>
        <w:tblW w:w="9351" w:type="auto"/>
        <w:tblInd w:w="60" w:type="dxa"/>
        <w:tblLook w:val="0000" w:firstRow="0" w:lastRow="0" w:firstColumn="0" w:lastColumn="0" w:noHBand="0" w:noVBand="0"/>
      </w:tblPr>
      <w:tblGrid>
        <w:gridCol w:w="2182"/>
        <w:gridCol w:w="1111"/>
        <w:gridCol w:w="1111"/>
        <w:gridCol w:w="1108"/>
        <w:gridCol w:w="1267"/>
        <w:gridCol w:w="978"/>
        <w:gridCol w:w="1407"/>
      </w:tblGrid>
      <w:tr w:rsidR="008D5255">
        <w:tc>
          <w:tcPr>
            <w:tcW w:w="226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Core outputs </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14/15</w:t>
            </w:r>
          </w:p>
          <w:p w:rsidR="008D5255" w:rsidRDefault="005C4F3B" w:rsidP="00011D98">
            <w:pPr>
              <w:pStyle w:val="NoSpacing"/>
              <w:rPr>
                <w:rFonts w:hAnsi="Arial"/>
              </w:rPr>
            </w:pPr>
            <w:r>
              <w:rPr>
                <w:rStyle w:val="CharAttribute16"/>
              </w:rPr>
              <w:t>Target</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14/15 </w:t>
            </w:r>
            <w:r>
              <w:rPr>
                <w:rStyle w:val="CharAttribute16"/>
              </w:rPr>
              <w:t>Actual</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15/16</w:t>
            </w:r>
          </w:p>
          <w:p w:rsidR="008D5255" w:rsidRDefault="005C4F3B" w:rsidP="00011D98">
            <w:pPr>
              <w:pStyle w:val="NoSpacing"/>
              <w:rPr>
                <w:rFonts w:hAnsi="Arial"/>
              </w:rPr>
            </w:pPr>
            <w:r>
              <w:rPr>
                <w:rStyle w:val="CharAttribute16"/>
              </w:rPr>
              <w:t>Target</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15/16</w:t>
            </w:r>
          </w:p>
          <w:p w:rsidR="008D5255" w:rsidRDefault="005C4F3B" w:rsidP="00011D98">
            <w:pPr>
              <w:pStyle w:val="NoSpacing"/>
              <w:rPr>
                <w:rFonts w:hAnsi="Arial"/>
              </w:rPr>
            </w:pPr>
            <w:r>
              <w:rPr>
                <w:rStyle w:val="CharAttribute16"/>
              </w:rPr>
              <w:t>Trajectory</w:t>
            </w:r>
          </w:p>
        </w:tc>
        <w:tc>
          <w:tcPr>
            <w:tcW w:w="99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15/16 </w:t>
            </w:r>
            <w:r>
              <w:rPr>
                <w:rStyle w:val="CharAttribute16"/>
              </w:rPr>
              <w:t>Actual</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  All Years </w:t>
            </w:r>
            <w:r>
              <w:rPr>
                <w:rStyle w:val="CharAttribute16"/>
              </w:rPr>
              <w:t>Cumulative Variance</w:t>
            </w:r>
            <w:r>
              <w:rPr>
                <w:rStyle w:val="CharAttribute14"/>
                <w:szCs w:val="22"/>
              </w:rPr>
              <w:t xml:space="preserve"> </w:t>
            </w:r>
          </w:p>
        </w:tc>
      </w:tr>
      <w:tr w:rsidR="008D5255">
        <w:tc>
          <w:tcPr>
            <w:tcW w:w="226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Total number of Housing units consented for planning *</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6,590</w:t>
            </w:r>
          </w:p>
          <w:p w:rsidR="008D5255" w:rsidRDefault="008D5255" w:rsidP="00011D98">
            <w:pPr>
              <w:pStyle w:val="NoSpacing"/>
              <w:rPr>
                <w:rFonts w:hAnsi="Arial"/>
              </w:rPr>
            </w:pP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D5255" w:rsidRDefault="005C4F3B" w:rsidP="00011D98">
            <w:pPr>
              <w:pStyle w:val="NoSpacing"/>
              <w:rPr>
                <w:rFonts w:hAnsi="Arial"/>
              </w:rPr>
            </w:pPr>
            <w:r>
              <w:rPr>
                <w:rStyle w:val="CharAttribute18"/>
                <w:szCs w:val="22"/>
              </w:rPr>
              <w:t>6,501</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 xml:space="preserve">3,027 </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3,027</w:t>
            </w:r>
          </w:p>
        </w:tc>
        <w:tc>
          <w:tcPr>
            <w:tcW w:w="99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D5255" w:rsidRDefault="005C4F3B" w:rsidP="00011D98">
            <w:pPr>
              <w:pStyle w:val="NoSpacing"/>
              <w:rPr>
                <w:rFonts w:hAnsi="Arial"/>
              </w:rPr>
            </w:pPr>
            <w:r>
              <w:rPr>
                <w:rStyle w:val="CharAttribute18"/>
                <w:szCs w:val="22"/>
              </w:rPr>
              <w:t>2,174</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 xml:space="preserve">-942 </w:t>
            </w:r>
          </w:p>
        </w:tc>
      </w:tr>
      <w:tr w:rsidR="008D5255">
        <w:tc>
          <w:tcPr>
            <w:tcW w:w="226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Total number of Housing units completed</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338</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D5255" w:rsidRDefault="005C4F3B" w:rsidP="00011D98">
            <w:pPr>
              <w:pStyle w:val="NoSpacing"/>
              <w:rPr>
                <w:rFonts w:hAnsi="Arial"/>
              </w:rPr>
            </w:pPr>
            <w:r>
              <w:rPr>
                <w:rStyle w:val="CharAttribute18"/>
                <w:szCs w:val="22"/>
              </w:rPr>
              <w:t>980</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868</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956</w:t>
            </w:r>
          </w:p>
        </w:tc>
        <w:tc>
          <w:tcPr>
            <w:tcW w:w="99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619</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+393</w:t>
            </w:r>
          </w:p>
          <w:p w:rsidR="008D5255" w:rsidRDefault="008D5255" w:rsidP="00011D98">
            <w:pPr>
              <w:pStyle w:val="NoSpacing"/>
              <w:rPr>
                <w:rFonts w:hAnsi="Arial"/>
              </w:rPr>
            </w:pPr>
          </w:p>
          <w:p w:rsidR="008D5255" w:rsidRDefault="008D5255" w:rsidP="00011D98">
            <w:pPr>
              <w:pStyle w:val="NoSpacing"/>
              <w:rPr>
                <w:rFonts w:hAnsi="Arial"/>
              </w:rPr>
            </w:pPr>
          </w:p>
        </w:tc>
      </w:tr>
      <w:tr w:rsidR="008D5255">
        <w:tc>
          <w:tcPr>
            <w:tcW w:w="226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Total number of Housing units submitted for planning</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6,844*</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D5255" w:rsidRDefault="005C4F3B" w:rsidP="00011D98">
            <w:pPr>
              <w:pStyle w:val="NoSpacing"/>
              <w:rPr>
                <w:rFonts w:hAnsi="Arial"/>
              </w:rPr>
            </w:pPr>
            <w:r>
              <w:rPr>
                <w:rStyle w:val="CharAttribute18"/>
                <w:szCs w:val="22"/>
              </w:rPr>
              <w:t>6,844*</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2,930</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2,930</w:t>
            </w:r>
          </w:p>
        </w:tc>
        <w:tc>
          <w:tcPr>
            <w:tcW w:w="99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1001</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-1929</w:t>
            </w:r>
          </w:p>
        </w:tc>
      </w:tr>
    </w:tbl>
    <w:p w:rsidR="008D5255" w:rsidRDefault="005C4F3B" w:rsidP="00011D98">
      <w:pPr>
        <w:pStyle w:val="NoSpacing"/>
        <w:rPr>
          <w:rFonts w:ascii="Calibri" w:eastAsia="Calibri" w:hAnsi="Calibri"/>
        </w:rPr>
      </w:pPr>
      <w:r>
        <w:rPr>
          <w:rStyle w:val="CharAttribute1"/>
          <w:szCs w:val="22"/>
        </w:rPr>
        <w:t xml:space="preserve">*Includes consents from previous years from City Deal sites that form the baseline position   </w:t>
      </w:r>
    </w:p>
    <w:p w:rsidR="008D5255" w:rsidRDefault="008D5255" w:rsidP="00011D98">
      <w:pPr>
        <w:pStyle w:val="NoSpacing"/>
        <w:rPr>
          <w:rFonts w:hAnsi="Arial"/>
        </w:rPr>
      </w:pPr>
    </w:p>
    <w:p w:rsidR="00011D98" w:rsidRDefault="00011D98" w:rsidP="00011D98">
      <w:pPr>
        <w:pStyle w:val="NoSpacing"/>
        <w:rPr>
          <w:rFonts w:hAnsi="Arial"/>
        </w:rPr>
      </w:pPr>
    </w:p>
    <w:p w:rsidR="008D5255" w:rsidRDefault="005C4F3B" w:rsidP="00011D98">
      <w:pPr>
        <w:pStyle w:val="NoSpacing"/>
        <w:rPr>
          <w:rStyle w:val="CharAttribute6"/>
          <w:szCs w:val="24"/>
        </w:rPr>
      </w:pPr>
      <w:r>
        <w:rPr>
          <w:rStyle w:val="CharAttribute6"/>
          <w:szCs w:val="24"/>
        </w:rPr>
        <w:t xml:space="preserve">Commercial </w:t>
      </w:r>
      <w:proofErr w:type="spellStart"/>
      <w:r>
        <w:rPr>
          <w:rStyle w:val="CharAttribute6"/>
          <w:szCs w:val="24"/>
        </w:rPr>
        <w:t>Floorspace</w:t>
      </w:r>
      <w:proofErr w:type="spellEnd"/>
      <w:r>
        <w:rPr>
          <w:rStyle w:val="CharAttribute6"/>
          <w:szCs w:val="24"/>
        </w:rPr>
        <w:t xml:space="preserve"> Outputs</w:t>
      </w:r>
    </w:p>
    <w:p w:rsidR="00011D98" w:rsidRDefault="00011D98" w:rsidP="00011D98">
      <w:pPr>
        <w:pStyle w:val="NoSpacing"/>
        <w:rPr>
          <w:rFonts w:ascii="Calibri" w:eastAsia="Calibri" w:hAnsi="Calibri"/>
        </w:rPr>
      </w:pPr>
    </w:p>
    <w:p w:rsidR="008D5255" w:rsidRDefault="005C4F3B" w:rsidP="00011D98">
      <w:pPr>
        <w:pStyle w:val="NoSpacing"/>
        <w:rPr>
          <w:rFonts w:hAnsi="Arial"/>
        </w:rPr>
      </w:pPr>
      <w:r>
        <w:rPr>
          <w:rStyle w:val="CharAttribute10"/>
          <w:szCs w:val="24"/>
        </w:rPr>
        <w:t xml:space="preserve">Year 2 targets have been exceeded with 6,327 </w:t>
      </w:r>
      <w:proofErr w:type="spellStart"/>
      <w:r>
        <w:rPr>
          <w:rStyle w:val="CharAttribute10"/>
          <w:szCs w:val="24"/>
        </w:rPr>
        <w:t>sq</w:t>
      </w:r>
      <w:proofErr w:type="spellEnd"/>
      <w:r>
        <w:rPr>
          <w:rStyle w:val="CharAttribute10"/>
          <w:szCs w:val="24"/>
        </w:rPr>
        <w:t xml:space="preserve"> m of </w:t>
      </w:r>
      <w:r>
        <w:rPr>
          <w:rStyle w:val="CharAttribute12"/>
          <w:szCs w:val="24"/>
        </w:rPr>
        <w:t xml:space="preserve">commercial </w:t>
      </w:r>
      <w:proofErr w:type="spellStart"/>
      <w:r>
        <w:rPr>
          <w:rStyle w:val="CharAttribute12"/>
          <w:szCs w:val="24"/>
        </w:rPr>
        <w:t>floorspace</w:t>
      </w:r>
      <w:proofErr w:type="spellEnd"/>
      <w:r>
        <w:rPr>
          <w:rStyle w:val="CharAttribute12"/>
          <w:szCs w:val="24"/>
        </w:rPr>
        <w:t xml:space="preserve"> completions</w:t>
      </w:r>
      <w:r>
        <w:rPr>
          <w:rStyle w:val="CharAttribute10"/>
          <w:szCs w:val="24"/>
        </w:rPr>
        <w:t xml:space="preserve"> against a target of 4,745 </w:t>
      </w:r>
      <w:proofErr w:type="spellStart"/>
      <w:r>
        <w:rPr>
          <w:rStyle w:val="CharAttribute10"/>
          <w:szCs w:val="24"/>
        </w:rPr>
        <w:t>sq</w:t>
      </w:r>
      <w:proofErr w:type="spellEnd"/>
      <w:r>
        <w:rPr>
          <w:rStyle w:val="CharAttribute10"/>
          <w:szCs w:val="24"/>
        </w:rPr>
        <w:t xml:space="preserve"> m, and although the cumulative target has not been achieved, it should be noted that these early targets were relatively modest and not on strategic sites where the bulk of future outputs will be generated. </w:t>
      </w:r>
    </w:p>
    <w:p w:rsidR="008D5255" w:rsidRDefault="008D5255" w:rsidP="00011D98">
      <w:pPr>
        <w:pStyle w:val="NoSpacing"/>
        <w:rPr>
          <w:rFonts w:hAnsi="Arial"/>
        </w:rPr>
      </w:pPr>
    </w:p>
    <w:p w:rsidR="008D5255" w:rsidRDefault="005C4F3B" w:rsidP="00011D98">
      <w:pPr>
        <w:pStyle w:val="NoSpacing"/>
        <w:rPr>
          <w:rFonts w:hAnsi="Arial"/>
        </w:rPr>
      </w:pPr>
      <w:r>
        <w:rPr>
          <w:rStyle w:val="CharAttribute10"/>
          <w:szCs w:val="24"/>
        </w:rPr>
        <w:t>The commercial ma</w:t>
      </w:r>
      <w:r>
        <w:rPr>
          <w:rStyle w:val="CharAttribute10"/>
          <w:szCs w:val="24"/>
        </w:rPr>
        <w:t>rket is occupier led, and there are mixed signs of local market recovery with;</w:t>
      </w:r>
    </w:p>
    <w:p w:rsidR="008D5255" w:rsidRDefault="008D5255" w:rsidP="00011D98">
      <w:pPr>
        <w:pStyle w:val="NoSpacing"/>
        <w:rPr>
          <w:rFonts w:hAnsi="Arial"/>
        </w:rPr>
      </w:pPr>
    </w:p>
    <w:p w:rsidR="00011D98" w:rsidRDefault="005C4F3B" w:rsidP="00011D98">
      <w:pPr>
        <w:pStyle w:val="NoSpacing"/>
        <w:numPr>
          <w:ilvl w:val="0"/>
          <w:numId w:val="2"/>
        </w:numPr>
        <w:rPr>
          <w:rFonts w:hAnsi="Arial"/>
        </w:rPr>
      </w:pPr>
      <w:r>
        <w:rPr>
          <w:rStyle w:val="CharAttribute10"/>
          <w:szCs w:val="24"/>
        </w:rPr>
        <w:t xml:space="preserve">some (limited) signs of </w:t>
      </w:r>
      <w:r>
        <w:rPr>
          <w:rStyle w:val="CharAttribute6"/>
          <w:szCs w:val="24"/>
        </w:rPr>
        <w:t>retail</w:t>
      </w:r>
      <w:r>
        <w:rPr>
          <w:rStyle w:val="CharAttribute10"/>
          <w:szCs w:val="24"/>
        </w:rPr>
        <w:t xml:space="preserve"> recovery (both in and out of town); </w:t>
      </w:r>
    </w:p>
    <w:p w:rsidR="00011D98" w:rsidRDefault="005C4F3B" w:rsidP="00011D98">
      <w:pPr>
        <w:pStyle w:val="NoSpacing"/>
        <w:numPr>
          <w:ilvl w:val="0"/>
          <w:numId w:val="2"/>
        </w:numPr>
        <w:rPr>
          <w:rFonts w:hAnsi="Arial"/>
        </w:rPr>
      </w:pPr>
      <w:r w:rsidRPr="00011D98">
        <w:rPr>
          <w:rStyle w:val="CharAttribute10"/>
          <w:szCs w:val="24"/>
        </w:rPr>
        <w:t xml:space="preserve">examples of smaller scale speculative </w:t>
      </w:r>
      <w:r w:rsidRPr="00011D98">
        <w:rPr>
          <w:rStyle w:val="CharAttribute6"/>
          <w:szCs w:val="24"/>
        </w:rPr>
        <w:t>industrial</w:t>
      </w:r>
      <w:r w:rsidRPr="00011D98">
        <w:rPr>
          <w:rStyle w:val="CharAttribute10"/>
          <w:szCs w:val="24"/>
        </w:rPr>
        <w:t xml:space="preserve"> development at well located business parks (plus large lett</w:t>
      </w:r>
      <w:r w:rsidRPr="00011D98">
        <w:rPr>
          <w:rStyle w:val="CharAttribute10"/>
          <w:szCs w:val="24"/>
        </w:rPr>
        <w:t xml:space="preserve">ings at existing business parks), and encouraging market responses to prime sites being brought forward; </w:t>
      </w:r>
    </w:p>
    <w:p w:rsidR="008D5255" w:rsidRPr="00011D98" w:rsidRDefault="005C4F3B" w:rsidP="00011D98">
      <w:pPr>
        <w:pStyle w:val="NoSpacing"/>
        <w:numPr>
          <w:ilvl w:val="0"/>
          <w:numId w:val="2"/>
        </w:numPr>
        <w:rPr>
          <w:rFonts w:hAnsi="Arial"/>
        </w:rPr>
      </w:pPr>
      <w:proofErr w:type="gramStart"/>
      <w:r w:rsidRPr="00011D98">
        <w:rPr>
          <w:rStyle w:val="CharAttribute10"/>
          <w:szCs w:val="24"/>
        </w:rPr>
        <w:t>limited</w:t>
      </w:r>
      <w:proofErr w:type="gramEnd"/>
      <w:r w:rsidRPr="00011D98">
        <w:rPr>
          <w:rStyle w:val="CharAttribute10"/>
          <w:szCs w:val="24"/>
        </w:rPr>
        <w:t xml:space="preserve"> </w:t>
      </w:r>
      <w:r w:rsidRPr="00011D98">
        <w:rPr>
          <w:rStyle w:val="CharAttribute6"/>
          <w:szCs w:val="24"/>
        </w:rPr>
        <w:t>office</w:t>
      </w:r>
      <w:r w:rsidRPr="00011D98">
        <w:rPr>
          <w:rStyle w:val="CharAttribute10"/>
          <w:szCs w:val="24"/>
        </w:rPr>
        <w:t xml:space="preserve"> activity, but continuing interest by the Business Processing Operations sector.</w:t>
      </w:r>
    </w:p>
    <w:p w:rsidR="008D5255" w:rsidRDefault="008D5255" w:rsidP="00011D98">
      <w:pPr>
        <w:pStyle w:val="NoSpacing"/>
        <w:rPr>
          <w:rFonts w:hAnsi="Arial"/>
        </w:rPr>
      </w:pPr>
    </w:p>
    <w:p w:rsidR="008D5255" w:rsidRDefault="005C4F3B" w:rsidP="00011D98">
      <w:pPr>
        <w:pStyle w:val="NoSpacing"/>
        <w:rPr>
          <w:rFonts w:hAnsi="Arial"/>
        </w:rPr>
      </w:pPr>
      <w:r>
        <w:rPr>
          <w:rStyle w:val="CharAttribute10"/>
          <w:szCs w:val="24"/>
        </w:rPr>
        <w:t>Nonetheless, original Year 2 projections anticipated c</w:t>
      </w:r>
      <w:r>
        <w:rPr>
          <w:rStyle w:val="CharAttribute10"/>
          <w:szCs w:val="24"/>
        </w:rPr>
        <w:t xml:space="preserve">ommercial development activity associated with mixed-use housing sites and whilst these have been re-profiled along with the connected housing completions, speculative industrial development activity, and some retail development, has been brought forward, </w:t>
      </w:r>
      <w:r>
        <w:rPr>
          <w:rStyle w:val="CharAttribute10"/>
          <w:szCs w:val="24"/>
        </w:rPr>
        <w:t xml:space="preserve">all of which provides a stronger sign of local market recovery and commercial demand.   </w:t>
      </w:r>
    </w:p>
    <w:p w:rsidR="008D5255" w:rsidRDefault="008D5255" w:rsidP="00011D98">
      <w:pPr>
        <w:pStyle w:val="NoSpacing"/>
        <w:rPr>
          <w:rFonts w:hAnsi="Arial"/>
        </w:rPr>
      </w:pPr>
    </w:p>
    <w:p w:rsidR="008D5255" w:rsidRDefault="005C4F3B" w:rsidP="00011D98">
      <w:pPr>
        <w:pStyle w:val="NoSpacing"/>
        <w:rPr>
          <w:rFonts w:hAnsi="Arial"/>
        </w:rPr>
      </w:pPr>
      <w:r>
        <w:rPr>
          <w:rStyle w:val="CharAttribute12"/>
          <w:szCs w:val="24"/>
        </w:rPr>
        <w:t xml:space="preserve">Commercial </w:t>
      </w:r>
      <w:proofErr w:type="spellStart"/>
      <w:r>
        <w:rPr>
          <w:rStyle w:val="CharAttribute12"/>
          <w:szCs w:val="24"/>
        </w:rPr>
        <w:t>floorspace</w:t>
      </w:r>
      <w:proofErr w:type="spellEnd"/>
      <w:r>
        <w:rPr>
          <w:rStyle w:val="CharAttribute12"/>
          <w:szCs w:val="24"/>
        </w:rPr>
        <w:t xml:space="preserve"> consented</w:t>
      </w:r>
      <w:r>
        <w:rPr>
          <w:rStyle w:val="CharAttribute10"/>
          <w:szCs w:val="24"/>
        </w:rPr>
        <w:t xml:space="preserve"> targets have not been achieved. However, the profile of commercial </w:t>
      </w:r>
      <w:proofErr w:type="spellStart"/>
      <w:r>
        <w:rPr>
          <w:rStyle w:val="CharAttribute10"/>
          <w:szCs w:val="24"/>
        </w:rPr>
        <w:t>floorspace</w:t>
      </w:r>
      <w:proofErr w:type="spellEnd"/>
      <w:r>
        <w:rPr>
          <w:rStyle w:val="CharAttribute10"/>
          <w:szCs w:val="24"/>
        </w:rPr>
        <w:t xml:space="preserve"> completions is within the 10 Year Deal period.  The 2015</w:t>
      </w:r>
      <w:r>
        <w:rPr>
          <w:rStyle w:val="CharAttribute10"/>
          <w:szCs w:val="24"/>
        </w:rPr>
        <w:t xml:space="preserve">/16 target of 79,446 </w:t>
      </w:r>
      <w:proofErr w:type="spellStart"/>
      <w:r>
        <w:rPr>
          <w:rStyle w:val="CharAttribute10"/>
          <w:szCs w:val="24"/>
        </w:rPr>
        <w:t>sq</w:t>
      </w:r>
      <w:proofErr w:type="spellEnd"/>
      <w:r>
        <w:rPr>
          <w:rStyle w:val="CharAttribute10"/>
          <w:szCs w:val="24"/>
        </w:rPr>
        <w:t xml:space="preserve"> m relates to a range of mainly large employment and city centre sites. In some cases the large scale developments have been shifted back a year within the </w:t>
      </w:r>
      <w:r>
        <w:rPr>
          <w:rStyle w:val="CharAttribute25"/>
          <w:szCs w:val="24"/>
        </w:rPr>
        <w:t>programme</w:t>
      </w:r>
      <w:r>
        <w:rPr>
          <w:rStyle w:val="CharAttribute10"/>
          <w:szCs w:val="24"/>
        </w:rPr>
        <w:t xml:space="preserve"> as more up to date market intelligence has been provided, however t</w:t>
      </w:r>
      <w:r>
        <w:rPr>
          <w:rStyle w:val="CharAttribute10"/>
          <w:szCs w:val="24"/>
        </w:rPr>
        <w:t xml:space="preserve">hese planning consents have been re-aligned with the updated completion trajectories.     </w:t>
      </w:r>
    </w:p>
    <w:p w:rsidR="008D5255" w:rsidRDefault="008D5255" w:rsidP="00011D98">
      <w:pPr>
        <w:pStyle w:val="NoSpacing"/>
        <w:rPr>
          <w:rFonts w:hAnsi="Arial"/>
        </w:rPr>
      </w:pPr>
    </w:p>
    <w:p w:rsidR="008D5255" w:rsidRDefault="005C4F3B" w:rsidP="00011D98">
      <w:pPr>
        <w:pStyle w:val="NoSpacing"/>
        <w:rPr>
          <w:rFonts w:hAnsi="Arial"/>
        </w:rPr>
      </w:pPr>
      <w:r>
        <w:rPr>
          <w:rStyle w:val="CharAttribute6"/>
          <w:szCs w:val="24"/>
        </w:rPr>
        <w:t>Table 2</w:t>
      </w:r>
    </w:p>
    <w:tbl>
      <w:tblPr>
        <w:tblStyle w:val="DefaultTable"/>
        <w:tblW w:w="9351" w:type="auto"/>
        <w:tblInd w:w="60" w:type="dxa"/>
        <w:tblLook w:val="0000" w:firstRow="0" w:lastRow="0" w:firstColumn="0" w:lastColumn="0" w:noHBand="0" w:noVBand="0"/>
      </w:tblPr>
      <w:tblGrid>
        <w:gridCol w:w="2183"/>
        <w:gridCol w:w="1110"/>
        <w:gridCol w:w="1110"/>
        <w:gridCol w:w="1110"/>
        <w:gridCol w:w="1265"/>
        <w:gridCol w:w="981"/>
        <w:gridCol w:w="1405"/>
      </w:tblGrid>
      <w:tr w:rsidR="008D5255">
        <w:tc>
          <w:tcPr>
            <w:tcW w:w="226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Core outputs </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14/15</w:t>
            </w:r>
          </w:p>
          <w:p w:rsidR="008D5255" w:rsidRDefault="005C4F3B" w:rsidP="00011D98">
            <w:pPr>
              <w:pStyle w:val="NoSpacing"/>
              <w:rPr>
                <w:rFonts w:hAnsi="Arial"/>
              </w:rPr>
            </w:pPr>
            <w:r>
              <w:rPr>
                <w:rStyle w:val="CharAttribute16"/>
              </w:rPr>
              <w:t>Target</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14/15 </w:t>
            </w:r>
            <w:r>
              <w:rPr>
                <w:rStyle w:val="CharAttribute16"/>
              </w:rPr>
              <w:t>Actual</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15/16</w:t>
            </w:r>
          </w:p>
          <w:p w:rsidR="008D5255" w:rsidRDefault="005C4F3B" w:rsidP="00011D98">
            <w:pPr>
              <w:pStyle w:val="NoSpacing"/>
              <w:rPr>
                <w:rFonts w:hAnsi="Arial"/>
              </w:rPr>
            </w:pPr>
            <w:r>
              <w:rPr>
                <w:rStyle w:val="CharAttribute16"/>
              </w:rPr>
              <w:t>Target</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15/16</w:t>
            </w:r>
          </w:p>
          <w:p w:rsidR="008D5255" w:rsidRDefault="005C4F3B" w:rsidP="00011D98">
            <w:pPr>
              <w:pStyle w:val="NoSpacing"/>
              <w:rPr>
                <w:rFonts w:hAnsi="Arial"/>
              </w:rPr>
            </w:pPr>
            <w:r>
              <w:rPr>
                <w:rStyle w:val="CharAttribute16"/>
              </w:rPr>
              <w:t>Trajectory</w:t>
            </w:r>
          </w:p>
        </w:tc>
        <w:tc>
          <w:tcPr>
            <w:tcW w:w="99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15/16 </w:t>
            </w:r>
            <w:r>
              <w:rPr>
                <w:rStyle w:val="CharAttribute16"/>
              </w:rPr>
              <w:t>Actual</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  All Years </w:t>
            </w:r>
            <w:r>
              <w:rPr>
                <w:rStyle w:val="CharAttribute16"/>
              </w:rPr>
              <w:t>Cumulative Variance</w:t>
            </w:r>
            <w:r>
              <w:rPr>
                <w:rStyle w:val="CharAttribute14"/>
                <w:szCs w:val="22"/>
              </w:rPr>
              <w:t xml:space="preserve"> </w:t>
            </w:r>
          </w:p>
        </w:tc>
      </w:tr>
      <w:tr w:rsidR="008D5255">
        <w:tc>
          <w:tcPr>
            <w:tcW w:w="226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 xml:space="preserve">Commercial </w:t>
            </w:r>
            <w:proofErr w:type="spellStart"/>
            <w:r>
              <w:rPr>
                <w:rStyle w:val="CharAttribute18"/>
                <w:szCs w:val="22"/>
              </w:rPr>
              <w:t>floorspace</w:t>
            </w:r>
            <w:proofErr w:type="spellEnd"/>
            <w:r>
              <w:rPr>
                <w:rStyle w:val="CharAttribute18"/>
                <w:szCs w:val="22"/>
              </w:rPr>
              <w:t xml:space="preserve"> consented (</w:t>
            </w:r>
            <w:proofErr w:type="spellStart"/>
            <w:r>
              <w:rPr>
                <w:rStyle w:val="CharAttribute18"/>
                <w:szCs w:val="22"/>
              </w:rPr>
              <w:t>sq</w:t>
            </w:r>
            <w:proofErr w:type="spellEnd"/>
            <w:r>
              <w:rPr>
                <w:rStyle w:val="CharAttribute18"/>
                <w:szCs w:val="22"/>
              </w:rPr>
              <w:t xml:space="preserve"> m)</w:t>
            </w:r>
          </w:p>
          <w:p w:rsidR="008D5255" w:rsidRDefault="008D5255" w:rsidP="00011D98">
            <w:pPr>
              <w:pStyle w:val="NoSpacing"/>
              <w:rPr>
                <w:rFonts w:hAnsi="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44,000</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D5255" w:rsidRDefault="005C4F3B" w:rsidP="00011D98">
            <w:pPr>
              <w:pStyle w:val="NoSpacing"/>
              <w:rPr>
                <w:rFonts w:hAnsi="Arial"/>
              </w:rPr>
            </w:pPr>
            <w:r>
              <w:rPr>
                <w:rStyle w:val="CharAttribute18"/>
                <w:szCs w:val="22"/>
              </w:rPr>
              <w:t>19,442</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76,446</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79,446</w:t>
            </w:r>
          </w:p>
        </w:tc>
        <w:tc>
          <w:tcPr>
            <w:tcW w:w="99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-101,004</w:t>
            </w:r>
          </w:p>
          <w:p w:rsidR="008D5255" w:rsidRDefault="008D5255" w:rsidP="00011D98">
            <w:pPr>
              <w:pStyle w:val="NoSpacing"/>
              <w:rPr>
                <w:rFonts w:hAnsi="Arial"/>
              </w:rPr>
            </w:pPr>
          </w:p>
          <w:p w:rsidR="008D5255" w:rsidRDefault="008D5255" w:rsidP="00011D98">
            <w:pPr>
              <w:pStyle w:val="NoSpacing"/>
              <w:rPr>
                <w:rFonts w:hAnsi="Arial"/>
              </w:rPr>
            </w:pPr>
          </w:p>
        </w:tc>
      </w:tr>
      <w:tr w:rsidR="008D5255">
        <w:tc>
          <w:tcPr>
            <w:tcW w:w="226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 xml:space="preserve">Commercial </w:t>
            </w:r>
            <w:proofErr w:type="spellStart"/>
            <w:r>
              <w:rPr>
                <w:rStyle w:val="CharAttribute18"/>
                <w:szCs w:val="22"/>
              </w:rPr>
              <w:t>floorspace</w:t>
            </w:r>
            <w:proofErr w:type="spellEnd"/>
            <w:r>
              <w:rPr>
                <w:rStyle w:val="CharAttribute18"/>
                <w:szCs w:val="22"/>
              </w:rPr>
              <w:t xml:space="preserve"> completed (</w:t>
            </w:r>
            <w:proofErr w:type="spellStart"/>
            <w:r>
              <w:rPr>
                <w:rStyle w:val="CharAttribute18"/>
                <w:szCs w:val="22"/>
              </w:rPr>
              <w:t>sq</w:t>
            </w:r>
            <w:proofErr w:type="spellEnd"/>
            <w:r>
              <w:rPr>
                <w:rStyle w:val="CharAttribute18"/>
                <w:szCs w:val="22"/>
              </w:rPr>
              <w:t xml:space="preserve"> m)</w:t>
            </w:r>
          </w:p>
          <w:p w:rsidR="008D5255" w:rsidRDefault="008D5255" w:rsidP="00011D98">
            <w:pPr>
              <w:pStyle w:val="NoSpacing"/>
              <w:rPr>
                <w:rFonts w:hAnsi="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21,928</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D5255" w:rsidRDefault="005C4F3B" w:rsidP="00011D98">
            <w:pPr>
              <w:pStyle w:val="NoSpacing"/>
              <w:rPr>
                <w:rFonts w:hAnsi="Arial"/>
              </w:rPr>
            </w:pPr>
            <w:r>
              <w:rPr>
                <w:rStyle w:val="CharAttribute18"/>
                <w:szCs w:val="22"/>
              </w:rPr>
              <w:t>3,338</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4,745</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4,745</w:t>
            </w:r>
          </w:p>
        </w:tc>
        <w:tc>
          <w:tcPr>
            <w:tcW w:w="99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6,327</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-17,008</w:t>
            </w:r>
          </w:p>
        </w:tc>
      </w:tr>
      <w:tr w:rsidR="008D5255">
        <w:tc>
          <w:tcPr>
            <w:tcW w:w="226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 xml:space="preserve">Quantity of Commercial </w:t>
            </w:r>
            <w:proofErr w:type="spellStart"/>
            <w:r>
              <w:rPr>
                <w:rStyle w:val="CharAttribute18"/>
                <w:szCs w:val="22"/>
              </w:rPr>
              <w:t>floorspace</w:t>
            </w:r>
            <w:proofErr w:type="spellEnd"/>
            <w:r>
              <w:rPr>
                <w:rStyle w:val="CharAttribute18"/>
                <w:szCs w:val="22"/>
              </w:rPr>
              <w:t xml:space="preserve"> submitted for planning</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44,000</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D5255" w:rsidRDefault="005C4F3B" w:rsidP="00011D98">
            <w:pPr>
              <w:pStyle w:val="NoSpacing"/>
              <w:rPr>
                <w:rFonts w:hAnsi="Arial"/>
              </w:rPr>
            </w:pPr>
            <w:r>
              <w:rPr>
                <w:rStyle w:val="CharAttribute18"/>
                <w:szCs w:val="22"/>
              </w:rPr>
              <w:t>78,483</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67,252</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67,252</w:t>
            </w:r>
          </w:p>
        </w:tc>
        <w:tc>
          <w:tcPr>
            <w:tcW w:w="99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14,012</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-18,757</w:t>
            </w:r>
          </w:p>
        </w:tc>
      </w:tr>
    </w:tbl>
    <w:p w:rsidR="008D5255" w:rsidRDefault="008D5255" w:rsidP="00011D98">
      <w:pPr>
        <w:pStyle w:val="NoSpacing"/>
        <w:rPr>
          <w:rFonts w:hAnsi="Arial"/>
        </w:rPr>
      </w:pPr>
    </w:p>
    <w:p w:rsidR="00011D98" w:rsidRDefault="00011D98" w:rsidP="00011D98">
      <w:pPr>
        <w:pStyle w:val="NoSpacing"/>
        <w:rPr>
          <w:rFonts w:hAnsi="Arial"/>
        </w:rPr>
      </w:pPr>
    </w:p>
    <w:p w:rsidR="00011D98" w:rsidRDefault="00011D98" w:rsidP="00011D98">
      <w:pPr>
        <w:pStyle w:val="NoSpacing"/>
        <w:rPr>
          <w:rFonts w:hAnsi="Arial"/>
        </w:rPr>
      </w:pPr>
    </w:p>
    <w:p w:rsidR="00011D98" w:rsidRDefault="00011D98" w:rsidP="00011D98">
      <w:pPr>
        <w:pStyle w:val="NoSpacing"/>
        <w:rPr>
          <w:rFonts w:hAnsi="Arial"/>
        </w:rPr>
      </w:pPr>
    </w:p>
    <w:p w:rsidR="008D5255" w:rsidRDefault="005C4F3B" w:rsidP="00011D98">
      <w:pPr>
        <w:pStyle w:val="NoSpacing"/>
        <w:rPr>
          <w:rStyle w:val="CharAttribute6"/>
          <w:szCs w:val="24"/>
        </w:rPr>
      </w:pPr>
      <w:r>
        <w:rPr>
          <w:rStyle w:val="CharAttribute6"/>
          <w:szCs w:val="24"/>
        </w:rPr>
        <w:t>Jobs</w:t>
      </w:r>
    </w:p>
    <w:p w:rsidR="00011D98" w:rsidRDefault="00011D98" w:rsidP="00011D98">
      <w:pPr>
        <w:pStyle w:val="NoSpacing"/>
        <w:rPr>
          <w:rFonts w:hAnsi="Arial"/>
        </w:rPr>
      </w:pPr>
    </w:p>
    <w:p w:rsidR="008D5255" w:rsidRDefault="005C4F3B" w:rsidP="00011D98">
      <w:pPr>
        <w:pStyle w:val="NoSpacing"/>
        <w:rPr>
          <w:rFonts w:hAnsi="Arial"/>
        </w:rPr>
      </w:pPr>
      <w:r>
        <w:rPr>
          <w:rStyle w:val="CharAttribute10"/>
          <w:szCs w:val="24"/>
        </w:rPr>
        <w:t xml:space="preserve">Related to commercial </w:t>
      </w:r>
      <w:proofErr w:type="spellStart"/>
      <w:r>
        <w:rPr>
          <w:rStyle w:val="CharAttribute10"/>
          <w:szCs w:val="24"/>
        </w:rPr>
        <w:t>floorspace</w:t>
      </w:r>
      <w:proofErr w:type="spellEnd"/>
      <w:r>
        <w:rPr>
          <w:rStyle w:val="CharAttribute10"/>
          <w:szCs w:val="24"/>
        </w:rPr>
        <w:t xml:space="preserve"> outputs, jobs outputs are above the forecast cumulative target up to 2015/16 and have performed well since the start of the Deal with 224 being achieved against a forecast 196. Similarly, jobs connected to construction activity (transport invest</w:t>
      </w:r>
      <w:r>
        <w:rPr>
          <w:rStyle w:val="CharAttribute10"/>
          <w:szCs w:val="24"/>
        </w:rPr>
        <w:t>ment) have contributed a further 529 jobs.</w:t>
      </w:r>
    </w:p>
    <w:p w:rsidR="008D5255" w:rsidRDefault="008D5255" w:rsidP="00011D98">
      <w:pPr>
        <w:pStyle w:val="NoSpacing"/>
        <w:rPr>
          <w:rFonts w:hAnsi="Arial"/>
        </w:rPr>
      </w:pPr>
    </w:p>
    <w:p w:rsidR="008D5255" w:rsidRDefault="005C4F3B" w:rsidP="00011D98">
      <w:pPr>
        <w:pStyle w:val="NoSpacing"/>
        <w:rPr>
          <w:rFonts w:hAnsi="Arial"/>
        </w:rPr>
      </w:pPr>
      <w:r>
        <w:rPr>
          <w:rStyle w:val="CharAttribute6"/>
          <w:szCs w:val="24"/>
        </w:rPr>
        <w:t xml:space="preserve">Table 3 </w:t>
      </w:r>
    </w:p>
    <w:tbl>
      <w:tblPr>
        <w:tblStyle w:val="DefaultTable"/>
        <w:tblW w:w="9351" w:type="auto"/>
        <w:tblInd w:w="60" w:type="dxa"/>
        <w:tblLook w:val="0000" w:firstRow="0" w:lastRow="0" w:firstColumn="0" w:lastColumn="0" w:noHBand="0" w:noVBand="0"/>
      </w:tblPr>
      <w:tblGrid>
        <w:gridCol w:w="2211"/>
        <w:gridCol w:w="1102"/>
        <w:gridCol w:w="1104"/>
        <w:gridCol w:w="1102"/>
        <w:gridCol w:w="1265"/>
        <w:gridCol w:w="975"/>
        <w:gridCol w:w="1405"/>
      </w:tblGrid>
      <w:tr w:rsidR="008D5255">
        <w:tc>
          <w:tcPr>
            <w:tcW w:w="226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Core outputs </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14/15</w:t>
            </w:r>
          </w:p>
          <w:p w:rsidR="008D5255" w:rsidRDefault="005C4F3B" w:rsidP="00011D98">
            <w:pPr>
              <w:pStyle w:val="NoSpacing"/>
              <w:rPr>
                <w:rFonts w:hAnsi="Arial"/>
              </w:rPr>
            </w:pPr>
            <w:r>
              <w:rPr>
                <w:rStyle w:val="CharAttribute16"/>
              </w:rPr>
              <w:t>Target</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14/15 </w:t>
            </w:r>
            <w:r>
              <w:rPr>
                <w:rStyle w:val="CharAttribute16"/>
              </w:rPr>
              <w:t>Actual</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15/16</w:t>
            </w:r>
          </w:p>
          <w:p w:rsidR="008D5255" w:rsidRDefault="005C4F3B" w:rsidP="00011D98">
            <w:pPr>
              <w:pStyle w:val="NoSpacing"/>
              <w:rPr>
                <w:rFonts w:hAnsi="Arial"/>
              </w:rPr>
            </w:pPr>
            <w:r>
              <w:rPr>
                <w:rStyle w:val="CharAttribute16"/>
              </w:rPr>
              <w:t>Target</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15/16</w:t>
            </w:r>
          </w:p>
          <w:p w:rsidR="008D5255" w:rsidRDefault="005C4F3B" w:rsidP="00011D98">
            <w:pPr>
              <w:pStyle w:val="NoSpacing"/>
              <w:rPr>
                <w:rFonts w:hAnsi="Arial"/>
              </w:rPr>
            </w:pPr>
            <w:r>
              <w:rPr>
                <w:rStyle w:val="CharAttribute16"/>
              </w:rPr>
              <w:t>Trajectory</w:t>
            </w:r>
          </w:p>
        </w:tc>
        <w:tc>
          <w:tcPr>
            <w:tcW w:w="99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15/16 </w:t>
            </w:r>
            <w:r>
              <w:rPr>
                <w:rStyle w:val="CharAttribute16"/>
              </w:rPr>
              <w:t>Actual</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  All Years </w:t>
            </w:r>
            <w:r>
              <w:rPr>
                <w:rStyle w:val="CharAttribute16"/>
              </w:rPr>
              <w:t>Cumulative Variance</w:t>
            </w:r>
            <w:r>
              <w:rPr>
                <w:rStyle w:val="CharAttribute14"/>
                <w:szCs w:val="22"/>
              </w:rPr>
              <w:t xml:space="preserve"> </w:t>
            </w:r>
          </w:p>
        </w:tc>
      </w:tr>
      <w:tr w:rsidR="008D5255">
        <w:tc>
          <w:tcPr>
            <w:tcW w:w="226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Jobs accommodated</w:t>
            </w:r>
          </w:p>
          <w:p w:rsidR="008D5255" w:rsidRDefault="005C4F3B" w:rsidP="00011D98">
            <w:pPr>
              <w:pStyle w:val="NoSpacing"/>
              <w:rPr>
                <w:rFonts w:hAnsi="Arial"/>
              </w:rPr>
            </w:pPr>
            <w:r>
              <w:rPr>
                <w:rStyle w:val="CharAttribute18"/>
                <w:szCs w:val="22"/>
              </w:rPr>
              <w:t xml:space="preserve">via commercial </w:t>
            </w:r>
            <w:proofErr w:type="spellStart"/>
            <w:r>
              <w:rPr>
                <w:rStyle w:val="CharAttribute18"/>
                <w:szCs w:val="22"/>
              </w:rPr>
              <w:t>floorspace</w:t>
            </w:r>
            <w:proofErr w:type="spellEnd"/>
            <w:r>
              <w:rPr>
                <w:rStyle w:val="CharAttribute18"/>
                <w:szCs w:val="22"/>
              </w:rPr>
              <w:t xml:space="preserve"> completions**</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8D5255" w:rsidP="00011D98">
            <w:pPr>
              <w:pStyle w:val="NoSpacing"/>
              <w:rPr>
                <w:rFonts w:hAnsi="Arial"/>
              </w:rPr>
            </w:pPr>
          </w:p>
          <w:p w:rsidR="008D5255" w:rsidRDefault="005C4F3B" w:rsidP="00011D98">
            <w:pPr>
              <w:pStyle w:val="NoSpacing"/>
              <w:rPr>
                <w:rFonts w:hAnsi="Arial"/>
              </w:rPr>
            </w:pPr>
            <w:r>
              <w:rPr>
                <w:rStyle w:val="CharAttribute18"/>
                <w:szCs w:val="22"/>
              </w:rPr>
              <w:t>86</w:t>
            </w:r>
          </w:p>
          <w:p w:rsidR="008D5255" w:rsidRDefault="008D5255" w:rsidP="00011D98">
            <w:pPr>
              <w:pStyle w:val="NoSpacing"/>
              <w:rPr>
                <w:rFonts w:hAnsi="Arial"/>
              </w:rPr>
            </w:pP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D5255" w:rsidRDefault="008D5255" w:rsidP="00011D98">
            <w:pPr>
              <w:pStyle w:val="NoSpacing"/>
              <w:rPr>
                <w:rFonts w:hAnsi="Arial"/>
              </w:rPr>
            </w:pPr>
          </w:p>
          <w:p w:rsidR="008D5255" w:rsidRDefault="005C4F3B" w:rsidP="00011D98">
            <w:pPr>
              <w:pStyle w:val="NoSpacing"/>
              <w:rPr>
                <w:rFonts w:hAnsi="Arial"/>
              </w:rPr>
            </w:pPr>
            <w:r>
              <w:rPr>
                <w:rStyle w:val="CharAttribute18"/>
                <w:szCs w:val="22"/>
              </w:rPr>
              <w:t>77</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8D5255" w:rsidP="00011D98">
            <w:pPr>
              <w:pStyle w:val="NoSpacing"/>
              <w:rPr>
                <w:rFonts w:hAnsi="Arial"/>
              </w:rPr>
            </w:pPr>
          </w:p>
          <w:p w:rsidR="008D5255" w:rsidRDefault="005C4F3B" w:rsidP="00011D98">
            <w:pPr>
              <w:pStyle w:val="NoSpacing"/>
              <w:rPr>
                <w:rFonts w:hAnsi="Arial"/>
              </w:rPr>
            </w:pPr>
            <w:r>
              <w:rPr>
                <w:rStyle w:val="CharAttribute18"/>
                <w:szCs w:val="22"/>
              </w:rPr>
              <w:t>110</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8D5255" w:rsidP="00011D98">
            <w:pPr>
              <w:pStyle w:val="NoSpacing"/>
              <w:rPr>
                <w:rFonts w:hAnsi="Arial"/>
              </w:rPr>
            </w:pPr>
          </w:p>
          <w:p w:rsidR="008D5255" w:rsidRDefault="005C4F3B" w:rsidP="00011D98">
            <w:pPr>
              <w:pStyle w:val="NoSpacing"/>
              <w:rPr>
                <w:rFonts w:hAnsi="Arial"/>
              </w:rPr>
            </w:pPr>
            <w:r>
              <w:rPr>
                <w:rStyle w:val="CharAttribute18"/>
                <w:szCs w:val="22"/>
              </w:rPr>
              <w:t>110</w:t>
            </w:r>
          </w:p>
        </w:tc>
        <w:tc>
          <w:tcPr>
            <w:tcW w:w="99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8D5255" w:rsidP="00011D98">
            <w:pPr>
              <w:pStyle w:val="NoSpacing"/>
              <w:rPr>
                <w:rFonts w:hAnsi="Arial"/>
              </w:rPr>
            </w:pPr>
          </w:p>
          <w:p w:rsidR="008D5255" w:rsidRDefault="005C4F3B" w:rsidP="00011D98">
            <w:pPr>
              <w:pStyle w:val="NoSpacing"/>
              <w:rPr>
                <w:rFonts w:hAnsi="Arial"/>
              </w:rPr>
            </w:pPr>
            <w:r>
              <w:rPr>
                <w:rStyle w:val="CharAttribute18"/>
                <w:szCs w:val="22"/>
              </w:rPr>
              <w:t>147</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8D5255" w:rsidP="00011D98">
            <w:pPr>
              <w:pStyle w:val="NoSpacing"/>
              <w:rPr>
                <w:rFonts w:hAnsi="Arial"/>
              </w:rPr>
            </w:pPr>
          </w:p>
          <w:p w:rsidR="008D5255" w:rsidRDefault="005C4F3B" w:rsidP="00011D98">
            <w:pPr>
              <w:pStyle w:val="NoSpacing"/>
              <w:rPr>
                <w:rFonts w:hAnsi="Arial"/>
              </w:rPr>
            </w:pPr>
            <w:r>
              <w:rPr>
                <w:rStyle w:val="CharAttribute18"/>
                <w:szCs w:val="22"/>
              </w:rPr>
              <w:t>+28</w:t>
            </w:r>
          </w:p>
        </w:tc>
      </w:tr>
      <w:tr w:rsidR="008D5255">
        <w:tc>
          <w:tcPr>
            <w:tcW w:w="226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Construction jobs connected to Capital Investment***</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n/a</w:t>
            </w:r>
          </w:p>
          <w:p w:rsidR="008D5255" w:rsidRDefault="008D5255" w:rsidP="00011D98">
            <w:pPr>
              <w:pStyle w:val="NoSpacing"/>
              <w:rPr>
                <w:rFonts w:hAnsi="Arial"/>
              </w:rPr>
            </w:pP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D5255" w:rsidRDefault="005C4F3B" w:rsidP="00011D98">
            <w:pPr>
              <w:pStyle w:val="NoSpacing"/>
              <w:rPr>
                <w:rFonts w:hAnsi="Arial"/>
              </w:rPr>
            </w:pPr>
            <w:r>
              <w:rPr>
                <w:rStyle w:val="CharAttribute18"/>
                <w:szCs w:val="22"/>
              </w:rPr>
              <w:t>226</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245</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245</w:t>
            </w:r>
          </w:p>
        </w:tc>
        <w:tc>
          <w:tcPr>
            <w:tcW w:w="99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D5255" w:rsidRDefault="005C4F3B" w:rsidP="00011D98">
            <w:pPr>
              <w:pStyle w:val="NoSpacing"/>
              <w:rPr>
                <w:rFonts w:hAnsi="Arial"/>
              </w:rPr>
            </w:pPr>
            <w:r>
              <w:rPr>
                <w:rStyle w:val="CharAttribute18"/>
                <w:szCs w:val="22"/>
              </w:rPr>
              <w:t>303</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+58</w:t>
            </w:r>
          </w:p>
        </w:tc>
      </w:tr>
    </w:tbl>
    <w:p w:rsidR="008D5255" w:rsidRDefault="005C4F3B" w:rsidP="00011D98">
      <w:pPr>
        <w:pStyle w:val="NoSpacing"/>
        <w:rPr>
          <w:rFonts w:ascii="Calibri" w:eastAsia="Calibri" w:hAnsi="Calibri"/>
        </w:rPr>
      </w:pPr>
      <w:r>
        <w:rPr>
          <w:rStyle w:val="CharAttribute1"/>
          <w:szCs w:val="22"/>
        </w:rPr>
        <w:t xml:space="preserve">**   Gross jobs based on an average of 43 </w:t>
      </w:r>
      <w:proofErr w:type="spellStart"/>
      <w:r>
        <w:rPr>
          <w:rStyle w:val="CharAttribute1"/>
          <w:szCs w:val="22"/>
        </w:rPr>
        <w:t>sq</w:t>
      </w:r>
      <w:proofErr w:type="spellEnd"/>
      <w:r>
        <w:rPr>
          <w:rStyle w:val="CharAttribute1"/>
          <w:szCs w:val="22"/>
        </w:rPr>
        <w:t xml:space="preserve"> m per job, as per </w:t>
      </w:r>
      <w:r>
        <w:rPr>
          <w:rStyle w:val="CharAttribute27"/>
          <w:szCs w:val="22"/>
        </w:rPr>
        <w:t>CLG</w:t>
      </w:r>
      <w:r>
        <w:rPr>
          <w:rStyle w:val="CharAttribute1"/>
          <w:szCs w:val="22"/>
        </w:rPr>
        <w:t xml:space="preserve"> guidance. </w:t>
      </w:r>
    </w:p>
    <w:p w:rsidR="008D5255" w:rsidRDefault="005C4F3B" w:rsidP="00011D98">
      <w:pPr>
        <w:pStyle w:val="NoSpacing"/>
        <w:rPr>
          <w:rFonts w:ascii="Calibri" w:eastAsia="Calibri" w:hAnsi="Calibri"/>
        </w:rPr>
      </w:pPr>
      <w:r>
        <w:rPr>
          <w:rStyle w:val="CharAttribute1"/>
          <w:szCs w:val="22"/>
        </w:rPr>
        <w:t xml:space="preserve">*** Based on one job per </w:t>
      </w:r>
      <w:r>
        <w:rPr>
          <w:rStyle w:val="CharAttribute1"/>
          <w:szCs w:val="22"/>
        </w:rPr>
        <w:t>£</w:t>
      </w:r>
      <w:r>
        <w:rPr>
          <w:rStyle w:val="CharAttribute1"/>
          <w:szCs w:val="22"/>
        </w:rPr>
        <w:t xml:space="preserve">86,945 of capital investment </w:t>
      </w:r>
    </w:p>
    <w:p w:rsidR="008D5255" w:rsidRDefault="008D5255" w:rsidP="00011D98">
      <w:pPr>
        <w:pStyle w:val="NoSpacing"/>
        <w:rPr>
          <w:rFonts w:hAnsi="Arial"/>
        </w:rPr>
      </w:pPr>
    </w:p>
    <w:p w:rsidR="00011D98" w:rsidRDefault="005C4F3B" w:rsidP="00011D98">
      <w:pPr>
        <w:pStyle w:val="NoSpacing"/>
        <w:rPr>
          <w:rStyle w:val="CharAttribute6"/>
          <w:szCs w:val="24"/>
        </w:rPr>
      </w:pPr>
      <w:r>
        <w:rPr>
          <w:rStyle w:val="CharAttribute6"/>
          <w:szCs w:val="24"/>
        </w:rPr>
        <w:t>Private Sector Investment</w:t>
      </w:r>
    </w:p>
    <w:p w:rsidR="00011D98" w:rsidRPr="00011D98" w:rsidRDefault="00011D98" w:rsidP="00011D98">
      <w:pPr>
        <w:pStyle w:val="NoSpacing"/>
        <w:rPr>
          <w:rFonts w:ascii="Arial" w:eastAsia="Arial"/>
          <w:b/>
          <w:sz w:val="24"/>
          <w:szCs w:val="24"/>
        </w:rPr>
      </w:pPr>
    </w:p>
    <w:p w:rsidR="008D5255" w:rsidRDefault="005C4F3B" w:rsidP="00011D98">
      <w:pPr>
        <w:pStyle w:val="NoSpacing"/>
        <w:rPr>
          <w:rFonts w:hAnsi="Arial"/>
        </w:rPr>
      </w:pPr>
      <w:r>
        <w:rPr>
          <w:rStyle w:val="CharAttribute10"/>
          <w:szCs w:val="24"/>
        </w:rPr>
        <w:t xml:space="preserve">In 2015/16 a combined total </w:t>
      </w:r>
      <w:r>
        <w:rPr>
          <w:rStyle w:val="CharAttribute10"/>
          <w:szCs w:val="24"/>
        </w:rPr>
        <w:t>£</w:t>
      </w:r>
      <w:r>
        <w:rPr>
          <w:rStyle w:val="CharAttribute10"/>
          <w:szCs w:val="24"/>
        </w:rPr>
        <w:t>26.36m of public and private sector investment has</w:t>
      </w:r>
    </w:p>
    <w:p w:rsidR="008D5255" w:rsidRDefault="005C4F3B" w:rsidP="00011D98">
      <w:pPr>
        <w:pStyle w:val="NoSpacing"/>
        <w:rPr>
          <w:rFonts w:hAnsi="Arial"/>
        </w:rPr>
      </w:pPr>
      <w:proofErr w:type="gramStart"/>
      <w:r>
        <w:rPr>
          <w:rStyle w:val="CharAttribute10"/>
          <w:szCs w:val="24"/>
        </w:rPr>
        <w:t>been</w:t>
      </w:r>
      <w:proofErr w:type="gramEnd"/>
      <w:r>
        <w:rPr>
          <w:rStyle w:val="CharAttribute10"/>
          <w:szCs w:val="24"/>
        </w:rPr>
        <w:t xml:space="preserve"> invested in transport infrastructure, which has resulted in the achievement of the</w:t>
      </w:r>
      <w:r w:rsidR="00011D98">
        <w:rPr>
          <w:rFonts w:hAnsi="Arial"/>
        </w:rPr>
        <w:t xml:space="preserve"> </w:t>
      </w:r>
      <w:r>
        <w:rPr>
          <w:rStyle w:val="CharAttribute10"/>
          <w:szCs w:val="24"/>
        </w:rPr>
        <w:t xml:space="preserve">infrastructure milestones in Section 6 below and the construction jobs referred to </w:t>
      </w:r>
      <w:proofErr w:type="spellStart"/>
      <w:r>
        <w:rPr>
          <w:rStyle w:val="CharAttribute10"/>
          <w:szCs w:val="24"/>
        </w:rPr>
        <w:t>in</w:t>
      </w:r>
      <w:r>
        <w:rPr>
          <w:rStyle w:val="CharAttribute10"/>
          <w:szCs w:val="24"/>
        </w:rPr>
        <w:t>Ta</w:t>
      </w:r>
      <w:r>
        <w:rPr>
          <w:rStyle w:val="CharAttribute10"/>
          <w:szCs w:val="24"/>
        </w:rPr>
        <w:t>ble</w:t>
      </w:r>
      <w:proofErr w:type="spellEnd"/>
      <w:r>
        <w:rPr>
          <w:rStyle w:val="CharAttribute10"/>
          <w:szCs w:val="24"/>
        </w:rPr>
        <w:t xml:space="preserve"> 3 above.</w:t>
      </w:r>
    </w:p>
    <w:p w:rsidR="008D5255" w:rsidRDefault="008D5255" w:rsidP="00011D98">
      <w:pPr>
        <w:pStyle w:val="NoSpacing"/>
        <w:rPr>
          <w:rFonts w:hAnsi="Arial"/>
        </w:rPr>
      </w:pPr>
    </w:p>
    <w:p w:rsidR="008D5255" w:rsidRDefault="005C4F3B" w:rsidP="00011D98">
      <w:pPr>
        <w:pStyle w:val="NoSpacing"/>
        <w:rPr>
          <w:rFonts w:hAnsi="Arial"/>
        </w:rPr>
      </w:pPr>
      <w:r>
        <w:rPr>
          <w:rStyle w:val="CharAttribute6"/>
          <w:szCs w:val="24"/>
        </w:rPr>
        <w:t xml:space="preserve">Table 4 </w:t>
      </w:r>
    </w:p>
    <w:tbl>
      <w:tblPr>
        <w:tblStyle w:val="DefaultTable"/>
        <w:tblW w:w="9493" w:type="auto"/>
        <w:tblInd w:w="60" w:type="dxa"/>
        <w:tblLook w:val="0000" w:firstRow="0" w:lastRow="0" w:firstColumn="0" w:lastColumn="0" w:noHBand="0" w:noVBand="0"/>
      </w:tblPr>
      <w:tblGrid>
        <w:gridCol w:w="1841"/>
        <w:gridCol w:w="1108"/>
        <w:gridCol w:w="1244"/>
        <w:gridCol w:w="1243"/>
        <w:gridCol w:w="1244"/>
        <w:gridCol w:w="1107"/>
        <w:gridCol w:w="1377"/>
      </w:tblGrid>
      <w:tr w:rsidR="008D5255">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Core outputs </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14/15</w:t>
            </w:r>
          </w:p>
          <w:p w:rsidR="008D5255" w:rsidRDefault="005C4F3B" w:rsidP="00011D98">
            <w:pPr>
              <w:pStyle w:val="NoSpacing"/>
              <w:rPr>
                <w:rFonts w:hAnsi="Arial"/>
              </w:rPr>
            </w:pPr>
            <w:r>
              <w:rPr>
                <w:rStyle w:val="CharAttribute16"/>
              </w:rPr>
              <w:t>Target</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14/15 </w:t>
            </w:r>
            <w:r>
              <w:rPr>
                <w:rStyle w:val="CharAttribute16"/>
              </w:rPr>
              <w:t>Actual</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15/16</w:t>
            </w:r>
          </w:p>
          <w:p w:rsidR="008D5255" w:rsidRDefault="005C4F3B" w:rsidP="00011D98">
            <w:pPr>
              <w:pStyle w:val="NoSpacing"/>
              <w:rPr>
                <w:rFonts w:hAnsi="Arial"/>
              </w:rPr>
            </w:pPr>
            <w:r>
              <w:rPr>
                <w:rStyle w:val="CharAttribute16"/>
              </w:rPr>
              <w:t>Target</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15/16</w:t>
            </w:r>
          </w:p>
          <w:p w:rsidR="008D5255" w:rsidRDefault="005C4F3B" w:rsidP="00011D98">
            <w:pPr>
              <w:pStyle w:val="NoSpacing"/>
              <w:rPr>
                <w:rFonts w:hAnsi="Arial"/>
              </w:rPr>
            </w:pPr>
            <w:r>
              <w:rPr>
                <w:rStyle w:val="CharAttribute16"/>
              </w:rPr>
              <w:t>Trajectory</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15/16 </w:t>
            </w:r>
            <w:r>
              <w:rPr>
                <w:rStyle w:val="CharAttribute16"/>
              </w:rPr>
              <w:t>Actual</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4"/>
                <w:szCs w:val="22"/>
              </w:rPr>
              <w:t xml:space="preserve">  All Years </w:t>
            </w:r>
            <w:r>
              <w:rPr>
                <w:rStyle w:val="CharAttribute16"/>
              </w:rPr>
              <w:t>Cumulative Variance</w:t>
            </w:r>
            <w:r>
              <w:rPr>
                <w:rStyle w:val="CharAttribute14"/>
                <w:szCs w:val="22"/>
              </w:rPr>
              <w:t xml:space="preserve"> </w:t>
            </w:r>
          </w:p>
        </w:tc>
      </w:tr>
      <w:tr w:rsidR="008D5255">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 xml:space="preserve">Public Sector Investment </w:t>
            </w:r>
          </w:p>
          <w:p w:rsidR="008D5255" w:rsidRDefault="005C4F3B" w:rsidP="00011D98">
            <w:pPr>
              <w:pStyle w:val="NoSpacing"/>
              <w:rPr>
                <w:rFonts w:hAnsi="Arial"/>
              </w:rPr>
            </w:pPr>
            <w:r>
              <w:rPr>
                <w:rStyle w:val="CharAttribute18"/>
                <w:szCs w:val="22"/>
              </w:rPr>
              <w:t xml:space="preserve">(for Infrastructure </w:t>
            </w:r>
            <w:r>
              <w:rPr>
                <w:rStyle w:val="CharAttribute28"/>
                <w:szCs w:val="22"/>
              </w:rPr>
              <w:t>programme</w:t>
            </w:r>
            <w:r>
              <w:rPr>
                <w:rStyle w:val="CharAttribute18"/>
                <w:szCs w:val="22"/>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w:t>
            </w:r>
            <w:r>
              <w:rPr>
                <w:rStyle w:val="CharAttribute18"/>
                <w:szCs w:val="22"/>
              </w:rPr>
              <w:t>18.59m</w:t>
            </w:r>
          </w:p>
        </w:tc>
        <w:tc>
          <w:tcPr>
            <w:tcW w:w="127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D5255" w:rsidRDefault="005C4F3B" w:rsidP="00011D98">
            <w:pPr>
              <w:pStyle w:val="NoSpacing"/>
              <w:rPr>
                <w:rFonts w:hAnsi="Arial"/>
              </w:rPr>
            </w:pPr>
            <w:r>
              <w:rPr>
                <w:rStyle w:val="CharAttribute18"/>
                <w:szCs w:val="22"/>
              </w:rPr>
              <w:t>£</w:t>
            </w:r>
            <w:r>
              <w:rPr>
                <w:rStyle w:val="CharAttribute18"/>
                <w:szCs w:val="22"/>
              </w:rPr>
              <w:t xml:space="preserve">18.067m </w:t>
            </w: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w:t>
            </w:r>
            <w:r>
              <w:rPr>
                <w:rStyle w:val="CharAttribute18"/>
                <w:szCs w:val="22"/>
              </w:rPr>
              <w:t>15.850m</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w:t>
            </w:r>
            <w:r>
              <w:rPr>
                <w:rStyle w:val="CharAttribute18"/>
                <w:szCs w:val="22"/>
              </w:rPr>
              <w:t>13.983m</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w:t>
            </w:r>
            <w:r>
              <w:rPr>
                <w:rStyle w:val="CharAttribute18"/>
                <w:szCs w:val="22"/>
              </w:rPr>
              <w:t>22.84m</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w:t>
            </w:r>
            <w:r>
              <w:rPr>
                <w:rStyle w:val="CharAttribute18"/>
                <w:szCs w:val="22"/>
              </w:rPr>
              <w:t>£</w:t>
            </w:r>
            <w:r>
              <w:rPr>
                <w:rStyle w:val="CharAttribute18"/>
                <w:szCs w:val="22"/>
              </w:rPr>
              <w:t>6.467m</w:t>
            </w:r>
          </w:p>
        </w:tc>
      </w:tr>
      <w:tr w:rsidR="008D5255">
        <w:tc>
          <w:tcPr>
            <w:tcW w:w="1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 xml:space="preserve">Private Sector Investment  </w:t>
            </w:r>
          </w:p>
          <w:p w:rsidR="008D5255" w:rsidRDefault="005C4F3B" w:rsidP="00011D98">
            <w:pPr>
              <w:pStyle w:val="NoSpacing"/>
              <w:rPr>
                <w:rFonts w:hAnsi="Arial"/>
              </w:rPr>
            </w:pPr>
            <w:r>
              <w:rPr>
                <w:rStyle w:val="CharAttribute18"/>
                <w:szCs w:val="22"/>
              </w:rPr>
              <w:t xml:space="preserve">(for Infrastructure </w:t>
            </w:r>
            <w:r>
              <w:rPr>
                <w:rStyle w:val="CharAttribute28"/>
                <w:szCs w:val="22"/>
              </w:rPr>
              <w:t>programme</w:t>
            </w:r>
            <w:r>
              <w:rPr>
                <w:rStyle w:val="CharAttribute18"/>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w:t>
            </w:r>
            <w:r>
              <w:rPr>
                <w:rStyle w:val="CharAttribute18"/>
                <w:szCs w:val="22"/>
              </w:rPr>
              <w:t>6.18m</w:t>
            </w:r>
          </w:p>
        </w:tc>
        <w:tc>
          <w:tcPr>
            <w:tcW w:w="127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D5255" w:rsidRDefault="005C4F3B" w:rsidP="00011D98">
            <w:pPr>
              <w:pStyle w:val="NoSpacing"/>
              <w:rPr>
                <w:rFonts w:hAnsi="Arial"/>
              </w:rPr>
            </w:pPr>
            <w:r>
              <w:rPr>
                <w:rStyle w:val="CharAttribute18"/>
                <w:szCs w:val="22"/>
              </w:rPr>
              <w:t>£</w:t>
            </w:r>
            <w:r>
              <w:rPr>
                <w:rStyle w:val="CharAttribute18"/>
                <w:szCs w:val="22"/>
              </w:rPr>
              <w:t>5.543m</w:t>
            </w:r>
          </w:p>
          <w:p w:rsidR="008D5255" w:rsidRDefault="008D5255" w:rsidP="00011D98">
            <w:pPr>
              <w:pStyle w:val="NoSpacing"/>
              <w:rPr>
                <w:rFonts w:hAnsi="Arial"/>
              </w:rPr>
            </w:pPr>
          </w:p>
        </w:tc>
        <w:tc>
          <w:tcPr>
            <w:tcW w:w="12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w:t>
            </w:r>
            <w:r>
              <w:rPr>
                <w:rStyle w:val="CharAttribute18"/>
                <w:szCs w:val="22"/>
              </w:rPr>
              <w:t>5.522m</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w:t>
            </w:r>
            <w:r>
              <w:rPr>
                <w:rStyle w:val="CharAttribute18"/>
                <w:szCs w:val="22"/>
              </w:rPr>
              <w:t>6.076m</w:t>
            </w:r>
          </w:p>
        </w:tc>
        <w:tc>
          <w:tcPr>
            <w:tcW w:w="113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w:t>
            </w:r>
            <w:r>
              <w:rPr>
                <w:rStyle w:val="CharAttribute18"/>
                <w:szCs w:val="22"/>
              </w:rPr>
              <w:t>3.518m</w:t>
            </w:r>
          </w:p>
        </w:tc>
        <w:tc>
          <w:tcPr>
            <w:tcW w:w="14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5255" w:rsidRDefault="005C4F3B" w:rsidP="00011D98">
            <w:pPr>
              <w:pStyle w:val="NoSpacing"/>
              <w:rPr>
                <w:rFonts w:hAnsi="Arial"/>
              </w:rPr>
            </w:pPr>
            <w:r>
              <w:rPr>
                <w:rStyle w:val="CharAttribute18"/>
                <w:szCs w:val="22"/>
              </w:rPr>
              <w:t>-</w:t>
            </w:r>
            <w:r>
              <w:rPr>
                <w:rStyle w:val="CharAttribute18"/>
                <w:szCs w:val="22"/>
              </w:rPr>
              <w:t>£</w:t>
            </w:r>
            <w:r>
              <w:rPr>
                <w:rStyle w:val="CharAttribute18"/>
                <w:szCs w:val="22"/>
              </w:rPr>
              <w:t>2.641m</w:t>
            </w:r>
          </w:p>
        </w:tc>
      </w:tr>
    </w:tbl>
    <w:p w:rsidR="008D5255" w:rsidRDefault="008D5255" w:rsidP="00011D98">
      <w:pPr>
        <w:pStyle w:val="NoSpacing"/>
        <w:rPr>
          <w:rFonts w:hAnsi="Arial"/>
        </w:rPr>
      </w:pPr>
    </w:p>
    <w:p w:rsidR="008D5255" w:rsidRDefault="005C4F3B" w:rsidP="00011D98">
      <w:pPr>
        <w:pStyle w:val="NoSpacing"/>
        <w:rPr>
          <w:rStyle w:val="CharAttribute6"/>
          <w:szCs w:val="24"/>
        </w:rPr>
      </w:pPr>
      <w:r>
        <w:rPr>
          <w:rStyle w:val="CharAttribute6"/>
          <w:szCs w:val="24"/>
        </w:rPr>
        <w:t xml:space="preserve">Infrastructure </w:t>
      </w:r>
    </w:p>
    <w:p w:rsidR="005C4F3B" w:rsidRDefault="005C4F3B" w:rsidP="00011D98">
      <w:pPr>
        <w:pStyle w:val="NoSpacing"/>
        <w:rPr>
          <w:rFonts w:hAnsi="Arial"/>
        </w:rPr>
      </w:pPr>
    </w:p>
    <w:p w:rsidR="008D5255" w:rsidRDefault="005C4F3B" w:rsidP="00011D98">
      <w:pPr>
        <w:pStyle w:val="NoSpacing"/>
        <w:rPr>
          <w:rFonts w:hAnsi="Arial"/>
        </w:rPr>
      </w:pPr>
      <w:r>
        <w:rPr>
          <w:rStyle w:val="CharAttribute10"/>
          <w:szCs w:val="24"/>
        </w:rPr>
        <w:t xml:space="preserve">Progress is being maintained on delivering the Highways Infrastructure with; </w:t>
      </w:r>
      <w:r>
        <w:rPr>
          <w:rStyle w:val="CharAttribute25"/>
          <w:szCs w:val="24"/>
        </w:rPr>
        <w:t>Broughton</w:t>
      </w:r>
      <w:r>
        <w:rPr>
          <w:rStyle w:val="CharAttribute10"/>
          <w:szCs w:val="24"/>
        </w:rPr>
        <w:t xml:space="preserve"> Bypass on-site; </w:t>
      </w:r>
      <w:r>
        <w:rPr>
          <w:rStyle w:val="CharAttribute25"/>
          <w:szCs w:val="24"/>
        </w:rPr>
        <w:t>Penwortham</w:t>
      </w:r>
      <w:r>
        <w:rPr>
          <w:rStyle w:val="CharAttribute10"/>
          <w:szCs w:val="24"/>
        </w:rPr>
        <w:t xml:space="preserve"> Bypass underway with land and property negotiations; Preston Western Distributor outline design complete and; A582 South </w:t>
      </w:r>
      <w:proofErr w:type="spellStart"/>
      <w:r>
        <w:rPr>
          <w:rStyle w:val="CharAttribute10"/>
          <w:szCs w:val="24"/>
        </w:rPr>
        <w:t>Ribble</w:t>
      </w:r>
      <w:proofErr w:type="spellEnd"/>
      <w:r>
        <w:rPr>
          <w:rStyle w:val="CharAttribute10"/>
          <w:szCs w:val="24"/>
        </w:rPr>
        <w:t xml:space="preserve"> Western Distributor </w:t>
      </w:r>
      <w:proofErr w:type="spellStart"/>
      <w:r>
        <w:rPr>
          <w:rStyle w:val="CharAttribute25"/>
          <w:szCs w:val="24"/>
        </w:rPr>
        <w:t>Dualling</w:t>
      </w:r>
      <w:proofErr w:type="spellEnd"/>
      <w:r>
        <w:rPr>
          <w:rStyle w:val="CharAttribute10"/>
          <w:szCs w:val="24"/>
        </w:rPr>
        <w:t xml:space="preserve"> underway with land and property negotiations. </w:t>
      </w:r>
    </w:p>
    <w:p w:rsidR="008D5255" w:rsidRDefault="008D5255" w:rsidP="00011D98">
      <w:pPr>
        <w:pStyle w:val="NoSpacing"/>
        <w:rPr>
          <w:rFonts w:hAnsi="Arial"/>
        </w:rPr>
      </w:pPr>
    </w:p>
    <w:p w:rsidR="005C4F3B" w:rsidRDefault="005C4F3B" w:rsidP="00011D98">
      <w:pPr>
        <w:pStyle w:val="NoSpacing"/>
        <w:rPr>
          <w:rFonts w:hAnsi="Arial"/>
        </w:rPr>
      </w:pPr>
    </w:p>
    <w:p w:rsidR="005C4F3B" w:rsidRDefault="005C4F3B" w:rsidP="00011D98">
      <w:pPr>
        <w:pStyle w:val="NoSpacing"/>
        <w:rPr>
          <w:rFonts w:hAnsi="Arial"/>
        </w:rPr>
      </w:pPr>
    </w:p>
    <w:p w:rsidR="008D5255" w:rsidRDefault="005C4F3B" w:rsidP="00011D98">
      <w:pPr>
        <w:pStyle w:val="NoSpacing"/>
        <w:rPr>
          <w:rFonts w:hAnsi="Arial"/>
        </w:rPr>
      </w:pPr>
      <w:r>
        <w:rPr>
          <w:rStyle w:val="CharAttribute10"/>
          <w:szCs w:val="24"/>
        </w:rPr>
        <w:t xml:space="preserve">Sustainable Transport Infrastructure Projects are </w:t>
      </w:r>
      <w:r>
        <w:rPr>
          <w:rStyle w:val="CharAttribute10"/>
          <w:szCs w:val="24"/>
        </w:rPr>
        <w:t xml:space="preserve">also progressing well with;  </w:t>
      </w:r>
      <w:r>
        <w:rPr>
          <w:rStyle w:val="CharAttribute25"/>
          <w:szCs w:val="24"/>
        </w:rPr>
        <w:t>Broughton</w:t>
      </w:r>
      <w:r>
        <w:rPr>
          <w:rStyle w:val="CharAttribute10"/>
          <w:szCs w:val="24"/>
        </w:rPr>
        <w:t xml:space="preserve">- </w:t>
      </w:r>
      <w:proofErr w:type="spellStart"/>
      <w:r>
        <w:rPr>
          <w:rStyle w:val="CharAttribute25"/>
          <w:szCs w:val="24"/>
        </w:rPr>
        <w:t>Fulwood</w:t>
      </w:r>
      <w:proofErr w:type="spellEnd"/>
      <w:r>
        <w:rPr>
          <w:rStyle w:val="CharAttribute10"/>
          <w:szCs w:val="24"/>
        </w:rPr>
        <w:t xml:space="preserve">- (Preston) (North) outline design approved; </w:t>
      </w:r>
      <w:r>
        <w:rPr>
          <w:rStyle w:val="CharAttribute25"/>
          <w:szCs w:val="24"/>
        </w:rPr>
        <w:t>Bamber</w:t>
      </w:r>
      <w:r>
        <w:rPr>
          <w:rStyle w:val="CharAttribute10"/>
          <w:szCs w:val="24"/>
        </w:rPr>
        <w:t xml:space="preserve"> Bridge - City Centre concept Design approved; </w:t>
      </w:r>
      <w:proofErr w:type="spellStart"/>
      <w:r>
        <w:rPr>
          <w:rStyle w:val="CharAttribute25"/>
          <w:szCs w:val="24"/>
        </w:rPr>
        <w:t>Fishergate</w:t>
      </w:r>
      <w:proofErr w:type="spellEnd"/>
      <w:r>
        <w:rPr>
          <w:rStyle w:val="CharAttribute10"/>
          <w:szCs w:val="24"/>
        </w:rPr>
        <w:t xml:space="preserve"> Central Gateway Phase 2 Construction underway and ; PWD to </w:t>
      </w:r>
      <w:proofErr w:type="spellStart"/>
      <w:r>
        <w:rPr>
          <w:rStyle w:val="CharAttribute25"/>
          <w:szCs w:val="24"/>
        </w:rPr>
        <w:t>Samlesbury</w:t>
      </w:r>
      <w:proofErr w:type="spellEnd"/>
      <w:r>
        <w:rPr>
          <w:rStyle w:val="CharAttribute10"/>
          <w:szCs w:val="24"/>
        </w:rPr>
        <w:t xml:space="preserve"> contract awarded.</w:t>
      </w:r>
    </w:p>
    <w:p w:rsidR="008D5255" w:rsidRDefault="008D5255" w:rsidP="00011D98">
      <w:pPr>
        <w:pStyle w:val="NoSpacing"/>
        <w:rPr>
          <w:rFonts w:hAnsi="Arial"/>
        </w:rPr>
      </w:pPr>
    </w:p>
    <w:p w:rsidR="008D5255" w:rsidRDefault="005C4F3B" w:rsidP="00011D98">
      <w:pPr>
        <w:pStyle w:val="NoSpacing"/>
        <w:rPr>
          <w:rStyle w:val="CharAttribute6"/>
          <w:szCs w:val="24"/>
        </w:rPr>
      </w:pPr>
      <w:r>
        <w:rPr>
          <w:rStyle w:val="CharAttribute6"/>
          <w:szCs w:val="24"/>
        </w:rPr>
        <w:t>Risk Man</w:t>
      </w:r>
      <w:r>
        <w:rPr>
          <w:rStyle w:val="CharAttribute6"/>
          <w:szCs w:val="24"/>
        </w:rPr>
        <w:t xml:space="preserve">agement  </w:t>
      </w:r>
    </w:p>
    <w:p w:rsidR="005C4F3B" w:rsidRDefault="005C4F3B" w:rsidP="00011D98">
      <w:pPr>
        <w:pStyle w:val="NoSpacing"/>
        <w:rPr>
          <w:rFonts w:hAnsi="Arial"/>
        </w:rPr>
      </w:pPr>
    </w:p>
    <w:p w:rsidR="008D5255" w:rsidRDefault="005C4F3B" w:rsidP="00011D98">
      <w:pPr>
        <w:pStyle w:val="NoSpacing"/>
        <w:rPr>
          <w:rFonts w:hAnsi="Arial"/>
        </w:rPr>
      </w:pPr>
      <w:r>
        <w:rPr>
          <w:rStyle w:val="CharAttribute10"/>
          <w:szCs w:val="24"/>
        </w:rPr>
        <w:t xml:space="preserve">The key City Deal </w:t>
      </w:r>
      <w:r>
        <w:rPr>
          <w:rStyle w:val="CharAttribute25"/>
          <w:szCs w:val="24"/>
        </w:rPr>
        <w:t>Programme</w:t>
      </w:r>
      <w:r>
        <w:rPr>
          <w:rStyle w:val="CharAttribute10"/>
          <w:szCs w:val="24"/>
        </w:rPr>
        <w:t xml:space="preserve"> risks are being managed primarily through a rolling 3 year Infrastructure Delivery Plan and through rigorous project management methods.</w:t>
      </w:r>
    </w:p>
    <w:p w:rsidR="008D5255" w:rsidRDefault="008D5255" w:rsidP="00011D98">
      <w:pPr>
        <w:pStyle w:val="NoSpacing"/>
        <w:rPr>
          <w:rFonts w:hAnsi="Arial"/>
        </w:rPr>
      </w:pPr>
    </w:p>
    <w:p w:rsidR="005C4F3B" w:rsidRDefault="005C4F3B" w:rsidP="005C4F3B">
      <w:pPr>
        <w:pStyle w:val="NoSpacing"/>
        <w:rPr>
          <w:rFonts w:hAnsi="Arial"/>
        </w:rPr>
      </w:pPr>
      <w:r>
        <w:rPr>
          <w:rStyle w:val="CharAttribute10"/>
          <w:szCs w:val="24"/>
        </w:rPr>
        <w:t>The E&amp;SB is aware that national policy changes and challenges have the potential</w:t>
      </w:r>
      <w:r>
        <w:rPr>
          <w:rStyle w:val="CharAttribute10"/>
          <w:szCs w:val="24"/>
        </w:rPr>
        <w:t xml:space="preserve"> to impact upon the commercial and housing market, and ultimately the delivery and sale of housing in the City Deal area. Expert advisors are retained by the City Deal partnership to ensure that local mitigation measures against potential adverse effects a</w:t>
      </w:r>
      <w:r>
        <w:rPr>
          <w:rStyle w:val="CharAttribute10"/>
          <w:szCs w:val="24"/>
        </w:rPr>
        <w:t xml:space="preserve">re fully explored. Part of this mitigation is working with </w:t>
      </w:r>
      <w:r>
        <w:rPr>
          <w:rStyle w:val="CharAttribute25"/>
          <w:szCs w:val="24"/>
        </w:rPr>
        <w:t>HMG</w:t>
      </w:r>
      <w:r>
        <w:rPr>
          <w:rStyle w:val="CharAttribute10"/>
          <w:szCs w:val="24"/>
        </w:rPr>
        <w:t xml:space="preserve"> and HCA in helping to deliver their planning-led housing market policies, in particular accessing Starter Homes finance and funding opportunities and the potential for Direct Delivery.</w:t>
      </w:r>
    </w:p>
    <w:p w:rsidR="008D5255" w:rsidRDefault="008D5255" w:rsidP="00011D98">
      <w:pPr>
        <w:pStyle w:val="NoSpacing"/>
        <w:rPr>
          <w:rFonts w:hAnsi="Arial"/>
        </w:rPr>
      </w:pPr>
    </w:p>
    <w:sectPr w:rsidR="008D5255" w:rsidSect="008D525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4F3B">
      <w:r>
        <w:separator/>
      </w:r>
    </w:p>
  </w:endnote>
  <w:endnote w:type="continuationSeparator" w:id="0">
    <w:p w:rsidR="00000000" w:rsidRDefault="005C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 □□">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C4F3B">
      <w:r>
        <w:separator/>
      </w:r>
    </w:p>
  </w:footnote>
  <w:footnote w:type="continuationSeparator" w:id="0">
    <w:p w:rsidR="00000000" w:rsidRDefault="005C4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9721D"/>
    <w:multiLevelType w:val="hybridMultilevel"/>
    <w:tmpl w:val="0E8A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875DC"/>
    <w:multiLevelType w:val="hybridMultilevel"/>
    <w:tmpl w:val="98971152"/>
    <w:lvl w:ilvl="0" w:tplc="C1B85666">
      <w:numFmt w:val="bullet"/>
      <w:lvlText w:val="·"/>
      <w:lvlJc w:val="left"/>
      <w:pPr>
        <w:ind w:left="1065" w:hanging="360"/>
      </w:pPr>
      <w:rPr>
        <w:rFonts w:ascii="Symbol" w:eastAsia="Arial" w:hAnsi="Symbol" w:hint="default"/>
        <w:b w:val="0"/>
        <w:color w:val="000000"/>
        <w:sz w:val="24"/>
        <w:szCs w:val="24"/>
      </w:rPr>
    </w:lvl>
    <w:lvl w:ilvl="1" w:tplc="F18C076E">
      <w:start w:val="1"/>
      <w:numFmt w:val="bullet"/>
      <w:lvlText w:val="o"/>
      <w:lvlJc w:val="left"/>
      <w:pPr>
        <w:ind w:left="1785" w:hanging="360"/>
      </w:pPr>
      <w:rPr>
        <w:rFonts w:ascii="Calibri" w:eastAsia="Calibri" w:hAnsi="Calibri" w:hint="default"/>
        <w:b w:val="0"/>
        <w:color w:val="000000"/>
        <w:sz w:val="22"/>
        <w:szCs w:val="22"/>
      </w:rPr>
    </w:lvl>
    <w:lvl w:ilvl="2" w:tplc="681094B0">
      <w:start w:val="1"/>
      <w:numFmt w:val="bullet"/>
      <w:lvlText w:val="§"/>
      <w:lvlJc w:val="left"/>
      <w:pPr>
        <w:ind w:left="2505" w:hanging="360"/>
      </w:pPr>
      <w:rPr>
        <w:rFonts w:ascii="Calibri" w:eastAsia="Calibri" w:hAnsi="Calibri" w:hint="default"/>
        <w:b w:val="0"/>
        <w:color w:val="000000"/>
        <w:sz w:val="22"/>
        <w:szCs w:val="22"/>
      </w:rPr>
    </w:lvl>
    <w:lvl w:ilvl="3" w:tplc="C478C220">
      <w:start w:val="1"/>
      <w:numFmt w:val="bullet"/>
      <w:lvlText w:val="·"/>
      <w:lvlJc w:val="left"/>
      <w:pPr>
        <w:ind w:left="3225" w:hanging="360"/>
      </w:pPr>
      <w:rPr>
        <w:rFonts w:ascii="Calibri" w:eastAsia="Calibri" w:hAnsi="Calibri" w:hint="default"/>
        <w:b w:val="0"/>
        <w:color w:val="000000"/>
        <w:sz w:val="22"/>
        <w:szCs w:val="22"/>
      </w:rPr>
    </w:lvl>
    <w:lvl w:ilvl="4" w:tplc="B90C8C72">
      <w:start w:val="1"/>
      <w:numFmt w:val="bullet"/>
      <w:lvlText w:val="o"/>
      <w:lvlJc w:val="left"/>
      <w:pPr>
        <w:ind w:left="3945" w:hanging="360"/>
      </w:pPr>
      <w:rPr>
        <w:rFonts w:ascii="Calibri" w:eastAsia="Calibri" w:hAnsi="Calibri" w:hint="default"/>
        <w:b w:val="0"/>
        <w:color w:val="000000"/>
        <w:sz w:val="22"/>
        <w:szCs w:val="22"/>
      </w:rPr>
    </w:lvl>
    <w:lvl w:ilvl="5" w:tplc="569AD8B6">
      <w:start w:val="1"/>
      <w:numFmt w:val="bullet"/>
      <w:lvlText w:val="§"/>
      <w:lvlJc w:val="left"/>
      <w:pPr>
        <w:ind w:left="4665" w:hanging="360"/>
      </w:pPr>
      <w:rPr>
        <w:rFonts w:ascii="Calibri" w:eastAsia="Calibri" w:hAnsi="Calibri" w:hint="default"/>
        <w:b w:val="0"/>
        <w:color w:val="000000"/>
        <w:sz w:val="22"/>
        <w:szCs w:val="22"/>
      </w:rPr>
    </w:lvl>
    <w:lvl w:ilvl="6" w:tplc="52260FBE">
      <w:start w:val="1"/>
      <w:numFmt w:val="bullet"/>
      <w:lvlText w:val="·"/>
      <w:lvlJc w:val="left"/>
      <w:pPr>
        <w:ind w:left="5385" w:hanging="360"/>
      </w:pPr>
      <w:rPr>
        <w:rFonts w:ascii="Calibri" w:eastAsia="Calibri" w:hAnsi="Calibri" w:hint="default"/>
        <w:b w:val="0"/>
        <w:color w:val="000000"/>
        <w:sz w:val="22"/>
        <w:szCs w:val="22"/>
      </w:rPr>
    </w:lvl>
    <w:lvl w:ilvl="7" w:tplc="50F666F0">
      <w:start w:val="1"/>
      <w:numFmt w:val="bullet"/>
      <w:lvlText w:val="o"/>
      <w:lvlJc w:val="left"/>
      <w:pPr>
        <w:ind w:left="6105" w:hanging="360"/>
      </w:pPr>
      <w:rPr>
        <w:rFonts w:ascii="Calibri" w:eastAsia="Calibri" w:hAnsi="Calibri" w:hint="default"/>
        <w:b w:val="0"/>
        <w:color w:val="000000"/>
        <w:sz w:val="22"/>
        <w:szCs w:val="22"/>
      </w:rPr>
    </w:lvl>
    <w:lvl w:ilvl="8" w:tplc="6B7A9D58">
      <w:start w:val="1"/>
      <w:numFmt w:val="bullet"/>
      <w:lvlText w:val="§"/>
      <w:lvlJc w:val="left"/>
      <w:pPr>
        <w:ind w:left="6825" w:hanging="360"/>
      </w:pPr>
      <w:rPr>
        <w:rFonts w:ascii="Calibri" w:eastAsia="Calibri" w:hAnsi="Calibri" w:hint="default"/>
        <w:b w:val="0"/>
        <w:color w:val="000000"/>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proofState w:spelling="clean" w:grammar="clean"/>
  <w:doNotTrackMov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5255"/>
    <w:rsid w:val="00011D98"/>
    <w:rsid w:val="005C4F3B"/>
    <w:rsid w:val="008D5255"/>
  </w:rsids>
  <m:mathPr>
    <m:mathFont m:val="Cambria Math"/>
    <m:brkBin m:val="before"/>
    <m:brkBinSub m:val="--"/>
    <m:smallFrac/>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7997849-1CBD-4285-B792-949ED5FE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5255"/>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8D52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D5255"/>
    <w:pPr>
      <w:ind w:left="400"/>
    </w:pPr>
  </w:style>
  <w:style w:type="paragraph" w:customStyle="1" w:styleId="ParaAttribute0">
    <w:name w:val="ParaAttribute0"/>
    <w:rsid w:val="008D5255"/>
    <w:pPr>
      <w:wordWrap w:val="0"/>
      <w:spacing w:after="160"/>
    </w:pPr>
  </w:style>
  <w:style w:type="paragraph" w:customStyle="1" w:styleId="ParaAttribute1">
    <w:name w:val="ParaAttribute1"/>
    <w:rsid w:val="008D5255"/>
    <w:pPr>
      <w:tabs>
        <w:tab w:val="center" w:pos="4513"/>
        <w:tab w:val="right" w:pos="9026"/>
      </w:tabs>
      <w:wordWrap w:val="0"/>
      <w:jc w:val="right"/>
    </w:pPr>
  </w:style>
  <w:style w:type="paragraph" w:customStyle="1" w:styleId="ParaAttribute2">
    <w:name w:val="ParaAttribute2"/>
    <w:rsid w:val="008D5255"/>
    <w:pPr>
      <w:tabs>
        <w:tab w:val="center" w:pos="4513"/>
        <w:tab w:val="right" w:pos="9026"/>
      </w:tabs>
      <w:wordWrap w:val="0"/>
    </w:pPr>
  </w:style>
  <w:style w:type="paragraph" w:customStyle="1" w:styleId="ParaAttribute3">
    <w:name w:val="ParaAttribute3"/>
    <w:rsid w:val="008D5255"/>
    <w:pPr>
      <w:widowControl w:val="0"/>
      <w:wordWrap w:val="0"/>
      <w:spacing w:after="160"/>
    </w:pPr>
  </w:style>
  <w:style w:type="paragraph" w:customStyle="1" w:styleId="ParaAttribute4">
    <w:name w:val="ParaAttribute4"/>
    <w:rsid w:val="008D5255"/>
    <w:pPr>
      <w:wordWrap w:val="0"/>
      <w:spacing w:after="160"/>
    </w:pPr>
  </w:style>
  <w:style w:type="paragraph" w:customStyle="1" w:styleId="ParaAttribute5">
    <w:name w:val="ParaAttribute5"/>
    <w:rsid w:val="008D5255"/>
    <w:pPr>
      <w:wordWrap w:val="0"/>
    </w:pPr>
  </w:style>
  <w:style w:type="paragraph" w:customStyle="1" w:styleId="ParaAttribute6">
    <w:name w:val="ParaAttribute6"/>
    <w:rsid w:val="008D5255"/>
    <w:pPr>
      <w:wordWrap w:val="0"/>
      <w:spacing w:after="160"/>
    </w:pPr>
  </w:style>
  <w:style w:type="paragraph" w:customStyle="1" w:styleId="ParaAttribute7">
    <w:name w:val="ParaAttribute7"/>
    <w:rsid w:val="008D5255"/>
    <w:pPr>
      <w:wordWrap w:val="0"/>
    </w:pPr>
  </w:style>
  <w:style w:type="paragraph" w:customStyle="1" w:styleId="ParaAttribute8">
    <w:name w:val="ParaAttribute8"/>
    <w:rsid w:val="008D5255"/>
    <w:pPr>
      <w:wordWrap w:val="0"/>
      <w:jc w:val="both"/>
    </w:pPr>
  </w:style>
  <w:style w:type="paragraph" w:customStyle="1" w:styleId="ParaAttribute9">
    <w:name w:val="ParaAttribute9"/>
    <w:rsid w:val="008D5255"/>
    <w:pPr>
      <w:tabs>
        <w:tab w:val="left" w:pos="426"/>
      </w:tabs>
      <w:wordWrap w:val="0"/>
      <w:ind w:left="360" w:hanging="360"/>
    </w:pPr>
  </w:style>
  <w:style w:type="paragraph" w:customStyle="1" w:styleId="ParaAttribute10">
    <w:name w:val="ParaAttribute10"/>
    <w:rsid w:val="008D5255"/>
    <w:pPr>
      <w:tabs>
        <w:tab w:val="left" w:pos="426"/>
      </w:tabs>
      <w:wordWrap w:val="0"/>
      <w:ind w:left="360" w:hanging="360"/>
    </w:pPr>
  </w:style>
  <w:style w:type="paragraph" w:customStyle="1" w:styleId="ParaAttribute11">
    <w:name w:val="ParaAttribute11"/>
    <w:rsid w:val="008D5255"/>
    <w:pPr>
      <w:wordWrap w:val="0"/>
      <w:ind w:left="284"/>
    </w:pPr>
  </w:style>
  <w:style w:type="paragraph" w:customStyle="1" w:styleId="ParaAttribute12">
    <w:name w:val="ParaAttribute12"/>
    <w:rsid w:val="008D5255"/>
    <w:pPr>
      <w:wordWrap w:val="0"/>
      <w:jc w:val="center"/>
    </w:pPr>
  </w:style>
  <w:style w:type="paragraph" w:customStyle="1" w:styleId="ParaAttribute13">
    <w:name w:val="ParaAttribute13"/>
    <w:rsid w:val="008D5255"/>
    <w:pPr>
      <w:tabs>
        <w:tab w:val="left" w:pos="885"/>
      </w:tabs>
      <w:wordWrap w:val="0"/>
      <w:jc w:val="center"/>
    </w:pPr>
  </w:style>
  <w:style w:type="paragraph" w:customStyle="1" w:styleId="ParaAttribute14">
    <w:name w:val="ParaAttribute14"/>
    <w:rsid w:val="008D5255"/>
    <w:pPr>
      <w:wordWrap w:val="0"/>
    </w:pPr>
  </w:style>
  <w:style w:type="paragraph" w:customStyle="1" w:styleId="ParaAttribute15">
    <w:name w:val="ParaAttribute15"/>
    <w:rsid w:val="008D5255"/>
    <w:pPr>
      <w:wordWrap w:val="0"/>
      <w:ind w:left="360"/>
    </w:pPr>
  </w:style>
  <w:style w:type="paragraph" w:customStyle="1" w:styleId="ParaAttribute16">
    <w:name w:val="ParaAttribute16"/>
    <w:rsid w:val="008D5255"/>
    <w:pPr>
      <w:wordWrap w:val="0"/>
      <w:ind w:left="284" w:hanging="284"/>
    </w:pPr>
  </w:style>
  <w:style w:type="paragraph" w:customStyle="1" w:styleId="ParaAttribute17">
    <w:name w:val="ParaAttribute17"/>
    <w:rsid w:val="008D5255"/>
    <w:pPr>
      <w:wordWrap w:val="0"/>
      <w:ind w:left="284" w:hanging="284"/>
    </w:pPr>
  </w:style>
  <w:style w:type="paragraph" w:customStyle="1" w:styleId="ParaAttribute18">
    <w:name w:val="ParaAttribute18"/>
    <w:rsid w:val="008D5255"/>
    <w:pPr>
      <w:wordWrap w:val="0"/>
      <w:ind w:left="1065" w:hanging="360"/>
    </w:pPr>
  </w:style>
  <w:style w:type="paragraph" w:customStyle="1" w:styleId="ParaAttribute19">
    <w:name w:val="ParaAttribute19"/>
    <w:rsid w:val="008D5255"/>
    <w:pPr>
      <w:wordWrap w:val="0"/>
      <w:ind w:left="284" w:hanging="426"/>
    </w:pPr>
  </w:style>
  <w:style w:type="paragraph" w:customStyle="1" w:styleId="ParaAttribute20">
    <w:name w:val="ParaAttribute20"/>
    <w:rsid w:val="008D5255"/>
    <w:pPr>
      <w:wordWrap w:val="0"/>
      <w:ind w:left="360"/>
    </w:pPr>
  </w:style>
  <w:style w:type="paragraph" w:customStyle="1" w:styleId="ParaAttribute21">
    <w:name w:val="ParaAttribute21"/>
    <w:rsid w:val="008D5255"/>
    <w:pPr>
      <w:widowControl w:val="0"/>
      <w:wordWrap w:val="0"/>
    </w:pPr>
  </w:style>
  <w:style w:type="character" w:customStyle="1" w:styleId="CharAttribute0">
    <w:name w:val="CharAttribute0"/>
    <w:rsid w:val="008D5255"/>
    <w:rPr>
      <w:rFonts w:ascii="Calibri" w:eastAsia="Calibri"/>
      <w:sz w:val="22"/>
    </w:rPr>
  </w:style>
  <w:style w:type="character" w:customStyle="1" w:styleId="CharAttribute1">
    <w:name w:val="CharAttribute1"/>
    <w:rsid w:val="008D5255"/>
    <w:rPr>
      <w:rFonts w:ascii="Calibri" w:eastAsia="Calibri"/>
      <w:sz w:val="22"/>
    </w:rPr>
  </w:style>
  <w:style w:type="character" w:customStyle="1" w:styleId="CharAttribute2">
    <w:name w:val="CharAttribute2"/>
    <w:rsid w:val="008D5255"/>
    <w:rPr>
      <w:rFonts w:ascii="Times New Roman" w:eastAsia="Times New Roman"/>
    </w:rPr>
  </w:style>
  <w:style w:type="character" w:customStyle="1" w:styleId="CharAttribute3">
    <w:name w:val="CharAttribute3"/>
    <w:rsid w:val="008D5255"/>
    <w:rPr>
      <w:rFonts w:ascii="Calibri" w:eastAsia="Calibri"/>
      <w:sz w:val="22"/>
    </w:rPr>
  </w:style>
  <w:style w:type="character" w:customStyle="1" w:styleId="CharAttribute4">
    <w:name w:val="CharAttribute4"/>
    <w:rsid w:val="008D5255"/>
    <w:rPr>
      <w:rFonts w:ascii="Calibri" w:eastAsia="Calibri"/>
      <w:sz w:val="22"/>
    </w:rPr>
  </w:style>
  <w:style w:type="character" w:customStyle="1" w:styleId="CharAttribute5">
    <w:name w:val="CharAttribute5"/>
    <w:rsid w:val="008D5255"/>
    <w:rPr>
      <w:rFonts w:ascii="Arial" w:eastAsia="Arial"/>
      <w:b/>
      <w:sz w:val="24"/>
    </w:rPr>
  </w:style>
  <w:style w:type="character" w:customStyle="1" w:styleId="CharAttribute6">
    <w:name w:val="CharAttribute6"/>
    <w:rsid w:val="008D5255"/>
    <w:rPr>
      <w:rFonts w:ascii="Arial" w:eastAsia="Arial"/>
      <w:b/>
      <w:sz w:val="24"/>
    </w:rPr>
  </w:style>
  <w:style w:type="character" w:customStyle="1" w:styleId="CharAttribute7">
    <w:name w:val="CharAttribute7"/>
    <w:rsid w:val="008D5255"/>
    <w:rPr>
      <w:rFonts w:ascii="Arial" w:eastAsia="Arial"/>
      <w:b/>
      <w:sz w:val="24"/>
      <w:vertAlign w:val="superscript"/>
    </w:rPr>
  </w:style>
  <w:style w:type="character" w:customStyle="1" w:styleId="CharAttribute8">
    <w:name w:val="CharAttribute8"/>
    <w:rsid w:val="008D5255"/>
    <w:rPr>
      <w:rFonts w:ascii="Arial" w:eastAsia="Arial"/>
      <w:sz w:val="24"/>
    </w:rPr>
  </w:style>
  <w:style w:type="character" w:customStyle="1" w:styleId="CharAttribute9">
    <w:name w:val="CharAttribute9"/>
    <w:rsid w:val="008D5255"/>
    <w:rPr>
      <w:rFonts w:ascii="Arial" w:eastAsia="Arial"/>
      <w:sz w:val="24"/>
      <w:shd w:val="clear" w:color="auto" w:fill="FFFF00"/>
    </w:rPr>
  </w:style>
  <w:style w:type="character" w:customStyle="1" w:styleId="CharAttribute10">
    <w:name w:val="CharAttribute10"/>
    <w:rsid w:val="008D5255"/>
    <w:rPr>
      <w:rFonts w:ascii="Arial" w:eastAsia="Arial"/>
      <w:sz w:val="24"/>
    </w:rPr>
  </w:style>
  <w:style w:type="character" w:customStyle="1" w:styleId="CharAttribute11">
    <w:name w:val="CharAttribute11"/>
    <w:rsid w:val="008D5255"/>
    <w:rPr>
      <w:rFonts w:ascii="Arial" w:eastAsia="Arial"/>
      <w:color w:val="FF0000"/>
      <w:sz w:val="24"/>
    </w:rPr>
  </w:style>
  <w:style w:type="character" w:customStyle="1" w:styleId="CharAttribute12">
    <w:name w:val="CharAttribute12"/>
    <w:rsid w:val="008D5255"/>
    <w:rPr>
      <w:rFonts w:ascii="Arial" w:eastAsia="Arial"/>
      <w:b/>
      <w:i/>
      <w:sz w:val="24"/>
    </w:rPr>
  </w:style>
  <w:style w:type="character" w:customStyle="1" w:styleId="CharAttribute13">
    <w:name w:val="CharAttribute13"/>
    <w:rsid w:val="008D5255"/>
    <w:rPr>
      <w:rFonts w:ascii="Arial" w:eastAsia="Arial"/>
      <w:b/>
      <w:sz w:val="22"/>
    </w:rPr>
  </w:style>
  <w:style w:type="character" w:customStyle="1" w:styleId="CharAttribute14">
    <w:name w:val="CharAttribute14"/>
    <w:rsid w:val="008D5255"/>
    <w:rPr>
      <w:rFonts w:ascii="Arial" w:eastAsia="Arial"/>
      <w:b/>
      <w:sz w:val="22"/>
    </w:rPr>
  </w:style>
  <w:style w:type="character" w:customStyle="1" w:styleId="CharAttribute15">
    <w:name w:val="CharAttribute15"/>
    <w:rsid w:val="008D5255"/>
    <w:rPr>
      <w:rFonts w:ascii="Arial" w:eastAsia="Arial"/>
      <w:b/>
    </w:rPr>
  </w:style>
  <w:style w:type="character" w:customStyle="1" w:styleId="CharAttribute16">
    <w:name w:val="CharAttribute16"/>
    <w:rsid w:val="008D5255"/>
    <w:rPr>
      <w:rFonts w:ascii="Arial" w:eastAsia="Arial"/>
      <w:b/>
    </w:rPr>
  </w:style>
  <w:style w:type="character" w:customStyle="1" w:styleId="CharAttribute17">
    <w:name w:val="CharAttribute17"/>
    <w:rsid w:val="008D5255"/>
    <w:rPr>
      <w:rFonts w:ascii="Arial" w:eastAsia="Arial"/>
      <w:sz w:val="22"/>
    </w:rPr>
  </w:style>
  <w:style w:type="character" w:customStyle="1" w:styleId="CharAttribute18">
    <w:name w:val="CharAttribute18"/>
    <w:rsid w:val="008D5255"/>
    <w:rPr>
      <w:rFonts w:ascii="Arial" w:eastAsia="Arial"/>
      <w:sz w:val="22"/>
    </w:rPr>
  </w:style>
  <w:style w:type="character" w:customStyle="1" w:styleId="CharAttribute19">
    <w:name w:val="CharAttribute19"/>
    <w:rsid w:val="008D5255"/>
    <w:rPr>
      <w:rFonts w:ascii="Calibri" w:eastAsia="Calibri"/>
      <w:b/>
      <w:sz w:val="22"/>
    </w:rPr>
  </w:style>
  <w:style w:type="character" w:customStyle="1" w:styleId="CharAttribute20">
    <w:name w:val="CharAttribute20"/>
    <w:rsid w:val="008D5255"/>
    <w:rPr>
      <w:rFonts w:ascii="Symbol" w:eastAsia="Arial"/>
      <w:sz w:val="24"/>
    </w:rPr>
  </w:style>
  <w:style w:type="character" w:customStyle="1" w:styleId="CharAttribute21">
    <w:name w:val="CharAttribute21"/>
    <w:rsid w:val="008D5255"/>
    <w:rPr>
      <w:rFonts w:ascii="Symbol" w:eastAsia="Arial"/>
      <w:sz w:val="24"/>
    </w:rPr>
  </w:style>
  <w:style w:type="character" w:customStyle="1" w:styleId="CharAttribute22">
    <w:name w:val="CharAttribute22"/>
    <w:rsid w:val="008D5255"/>
    <w:rPr>
      <w:rFonts w:ascii="Arial" w:eastAsia="Arial"/>
      <w:b/>
      <w:i/>
      <w:sz w:val="24"/>
    </w:rPr>
  </w:style>
  <w:style w:type="character" w:customStyle="1" w:styleId="CharAttribute23">
    <w:name w:val="CharAttribute23"/>
    <w:rsid w:val="008D5255"/>
    <w:rPr>
      <w:rFonts w:ascii="Arial" w:eastAsia="Arial"/>
      <w:sz w:val="16"/>
    </w:rPr>
  </w:style>
  <w:style w:type="character" w:customStyle="1" w:styleId="CharAttribute24">
    <w:name w:val="CharAttribute24"/>
    <w:rsid w:val="008D5255"/>
    <w:rPr>
      <w:rFonts w:ascii="Arial" w:eastAsia="Arial"/>
      <w:b/>
      <w:sz w:val="24"/>
    </w:rPr>
  </w:style>
  <w:style w:type="character" w:customStyle="1" w:styleId="CharAttribute25">
    <w:name w:val="CharAttribute25"/>
    <w:rsid w:val="008D5255"/>
    <w:rPr>
      <w:rFonts w:ascii="Arial" w:eastAsia="Arial"/>
      <w:sz w:val="24"/>
    </w:rPr>
  </w:style>
  <w:style w:type="character" w:customStyle="1" w:styleId="CharAttribute26">
    <w:name w:val="CharAttribute26"/>
    <w:rsid w:val="008D5255"/>
    <w:rPr>
      <w:rFonts w:ascii="Arial" w:eastAsia="Arial"/>
      <w:color w:val="FF0000"/>
      <w:sz w:val="24"/>
    </w:rPr>
  </w:style>
  <w:style w:type="character" w:customStyle="1" w:styleId="CharAttribute27">
    <w:name w:val="CharAttribute27"/>
    <w:rsid w:val="008D5255"/>
    <w:rPr>
      <w:rFonts w:ascii="Calibri" w:eastAsia="Calibri"/>
      <w:sz w:val="22"/>
    </w:rPr>
  </w:style>
  <w:style w:type="character" w:customStyle="1" w:styleId="CharAttribute28">
    <w:name w:val="CharAttribute28"/>
    <w:rsid w:val="008D5255"/>
    <w:rPr>
      <w:rFonts w:ascii="Arial" w:eastAsia="Arial"/>
      <w:sz w:val="22"/>
    </w:rPr>
  </w:style>
  <w:style w:type="character" w:customStyle="1" w:styleId="CharAttribute29">
    <w:name w:val="CharAttribute29"/>
    <w:rsid w:val="008D5255"/>
    <w:rPr>
      <w:rFonts w:ascii="Arial" w:eastAsia="Arial"/>
      <w:sz w:val="24"/>
    </w:rPr>
  </w:style>
  <w:style w:type="paragraph" w:styleId="NoSpacing">
    <w:name w:val="No Spacing"/>
    <w:uiPriority w:val="1"/>
    <w:qFormat/>
    <w:rsid w:val="00011D98"/>
    <w:pPr>
      <w:widowControl w:val="0"/>
      <w:wordWrap w:val="0"/>
      <w:autoSpaceDE w:val="0"/>
      <w:autoSpaceDN w:val="0"/>
      <w:jc w:val="both"/>
    </w:pPr>
    <w:rPr>
      <w:rFonts w:ascii="Batang"/>
      <w:kern w:val="2"/>
      <w:lang w:val="en-US" w:eastAsia="ko-KR"/>
    </w:rPr>
  </w:style>
  <w:style w:type="paragraph" w:styleId="Header">
    <w:name w:val="header"/>
    <w:basedOn w:val="Normal"/>
    <w:link w:val="HeaderChar"/>
    <w:uiPriority w:val="99"/>
    <w:unhideWhenUsed/>
    <w:rsid w:val="00011D98"/>
    <w:pPr>
      <w:tabs>
        <w:tab w:val="center" w:pos="4513"/>
        <w:tab w:val="right" w:pos="9026"/>
      </w:tabs>
    </w:pPr>
  </w:style>
  <w:style w:type="character" w:customStyle="1" w:styleId="HeaderChar">
    <w:name w:val="Header Char"/>
    <w:basedOn w:val="DefaultParagraphFont"/>
    <w:link w:val="Header"/>
    <w:uiPriority w:val="99"/>
    <w:rsid w:val="00011D98"/>
    <w:rPr>
      <w:rFonts w:ascii="Batang"/>
      <w:kern w:val="2"/>
      <w:lang w:val="en-US" w:eastAsia="ko-KR"/>
    </w:rPr>
  </w:style>
  <w:style w:type="paragraph" w:styleId="Footer">
    <w:name w:val="footer"/>
    <w:basedOn w:val="Normal"/>
    <w:link w:val="FooterChar"/>
    <w:uiPriority w:val="99"/>
    <w:unhideWhenUsed/>
    <w:rsid w:val="00011D98"/>
    <w:pPr>
      <w:tabs>
        <w:tab w:val="center" w:pos="4513"/>
        <w:tab w:val="right" w:pos="9026"/>
      </w:tabs>
    </w:pPr>
  </w:style>
  <w:style w:type="character" w:customStyle="1" w:styleId="FooterChar">
    <w:name w:val="Footer Char"/>
    <w:basedOn w:val="DefaultParagraphFont"/>
    <w:link w:val="Footer"/>
    <w:uiPriority w:val="99"/>
    <w:rsid w:val="00011D98"/>
    <w:rPr>
      <w:rFonts w:ascii="Batang"/>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
        <a:ea typeface=""/>
        <a:cs typeface=""/>
        <a:font script="Jpan" typeface="□□ □□□□□"/>
        <a:font script="Hang" typeface="□□ □□"/>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
        <a:ea typeface=""/>
        <a:cs typeface=""/>
        <a:font script="Jpan" typeface="□□ □□□□□"/>
        <a:font script="Hang" typeface="□□ □□"/>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1342</Words>
  <Characters>7654</Characters>
  <Application>Microsoft Office Word</Application>
  <DocSecurity>0</DocSecurity>
  <Lines>63</Lines>
  <Paragraphs>17</Paragraphs>
  <MMClips>0</MMClip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Sarah</dc:creator>
  <cp:lastModifiedBy>Milroy, Andy</cp:lastModifiedBy>
  <cp:revision>4</cp:revision>
  <dcterms:created xsi:type="dcterms:W3CDTF">2016-06-16T13:35:00Z</dcterms:created>
  <dcterms:modified xsi:type="dcterms:W3CDTF">2016-06-16T13:55:00Z</dcterms:modified>
</cp:coreProperties>
</file>